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pBdr>
        <w:spacing w:before="0"/>
        <w:ind w:left="0" w:right="0"/>
      </w:pPr>
      <w:r>
        <w:rPr>
          <w:rFonts w:ascii="Courier New" w:hAnsi="Courier New" w:eastAsia="Courier New" w:cs="Courier New"/>
        </w:rPr>
        <w:t>﻿</w:t>
      </w:r>
      <w:r>
        <w:t xml:space="preserve"> </w:t>
      </w:r>
    </w:p>
    <w:p>
      <w:pPr>
        <w:pStyle w:val="14"/>
        <w:pBdr>
          <w:top w:val="none" w:color="auto" w:sz="0" w:space="0"/>
          <w:left w:val="none" w:color="auto" w:sz="0" w:space="0"/>
          <w:bottom w:val="none" w:color="auto" w:sz="0" w:space="0"/>
          <w:right w:val="none" w:color="auto" w:sz="0" w:space="0"/>
        </w:pBdr>
        <w:spacing w:before="0" w:after="0"/>
        <w:ind w:left="0" w:right="0"/>
        <w:rPr>
          <w:sz w:val="84"/>
          <w:szCs w:val="84"/>
        </w:rPr>
      </w:pPr>
    </w:p>
    <w:p>
      <w:pPr>
        <w:pStyle w:val="15"/>
        <w:pBdr>
          <w:top w:val="none" w:color="auto" w:sz="0" w:space="0"/>
          <w:left w:val="none" w:color="auto" w:sz="0" w:space="0"/>
          <w:bottom w:val="none" w:color="auto" w:sz="0" w:space="0"/>
          <w:right w:val="none" w:color="auto" w:sz="0" w:space="0"/>
        </w:pBdr>
        <w:spacing w:before="150" w:after="150"/>
        <w:ind w:left="0" w:right="0"/>
        <w:jc w:val="center"/>
        <w:rPr>
          <w:rFonts w:ascii="方正小标宋简体" w:hAnsi="方正小标宋简体" w:eastAsia="方正小标宋简体" w:cs="方正小标宋简体"/>
          <w:b/>
          <w:bCs/>
          <w:sz w:val="84"/>
          <w:szCs w:val="84"/>
        </w:rPr>
      </w:pPr>
      <w:r>
        <w:rPr>
          <w:rFonts w:ascii="方正小标宋简体" w:hAnsi="方正小标宋简体" w:eastAsia="方正小标宋简体" w:cs="方正小标宋简体"/>
          <w:b/>
          <w:bCs/>
        </w:rPr>
        <w:t xml:space="preserve">杭州市对口支援和区域合作局 </w:t>
      </w:r>
    </w:p>
    <w:p>
      <w:pPr>
        <w:pBdr>
          <w:top w:val="none" w:color="auto" w:sz="0" w:space="0"/>
          <w:left w:val="none" w:color="auto" w:sz="0" w:space="0"/>
          <w:bottom w:val="none" w:color="auto" w:sz="0" w:space="0"/>
          <w:right w:val="none" w:color="auto" w:sz="0" w:space="0"/>
        </w:pBdr>
        <w:ind w:left="0" w:right="0"/>
      </w:pPr>
    </w:p>
    <w:p>
      <w:pPr>
        <w:pStyle w:val="15"/>
        <w:spacing w:before="150" w:after="16845"/>
        <w:ind w:left="0" w:right="0"/>
        <w:jc w:val="center"/>
        <w:rPr>
          <w:rFonts w:ascii="方正小标宋简体" w:hAnsi="方正小标宋简体" w:eastAsia="方正小标宋简体" w:cs="方正小标宋简体"/>
          <w:b/>
          <w:bCs/>
          <w:sz w:val="84"/>
          <w:szCs w:val="84"/>
        </w:rPr>
      </w:pPr>
      <w:r>
        <w:rPr>
          <w:rStyle w:val="16"/>
          <w:b/>
          <w:bCs/>
        </w:rPr>
        <w:t>2024</w:t>
      </w:r>
      <w:r>
        <w:rPr>
          <w:rFonts w:ascii="方正小标宋简体" w:hAnsi="方正小标宋简体" w:eastAsia="方正小标宋简体" w:cs="方正小标宋简体"/>
          <w:b/>
          <w:bCs/>
        </w:rPr>
        <w:t>年度部门预算</w:t>
      </w:r>
    </w:p>
    <w:p>
      <w:pPr>
        <w:pStyle w:val="18"/>
        <w:pBdr>
          <w:top w:val="none" w:color="auto" w:sz="0" w:space="0"/>
          <w:left w:val="none" w:color="auto" w:sz="0" w:space="0"/>
          <w:bottom w:val="none" w:color="auto" w:sz="0" w:space="0"/>
          <w:right w:val="none" w:color="auto" w:sz="0" w:space="0"/>
        </w:pBdr>
        <w:spacing w:before="0" w:after="0"/>
        <w:ind w:left="0" w:right="0" w:firstLine="440"/>
        <w:jc w:val="center"/>
        <w:rPr>
          <w:rFonts w:ascii="方正小标宋简体" w:hAnsi="方正小标宋简体" w:eastAsia="方正小标宋简体" w:cs="方正小标宋简体"/>
          <w:sz w:val="44"/>
          <w:szCs w:val="44"/>
        </w:rPr>
        <w:sectPr>
          <w:headerReference r:id="rId3" w:type="default"/>
          <w:footerReference r:id="rId4" w:type="default"/>
          <w:pgMar w:top="1440" w:right="1800" w:bottom="1440" w:left="1800" w:header="708" w:footer="708" w:gutter="0"/>
          <w:cols w:space="708" w:num="1"/>
        </w:sectPr>
      </w:pPr>
    </w:p>
    <w:p>
      <w:pPr>
        <w:pStyle w:val="18"/>
        <w:pBdr>
          <w:top w:val="none" w:color="auto" w:sz="0" w:space="0"/>
          <w:left w:val="none" w:color="auto" w:sz="0" w:space="0"/>
          <w:bottom w:val="none" w:color="auto" w:sz="0" w:space="0"/>
          <w:right w:val="none" w:color="auto" w:sz="0" w:space="0"/>
        </w:pBdr>
        <w:spacing w:before="0" w:after="0"/>
        <w:ind w:left="0" w:right="0" w:firstLine="440"/>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目 录</w:t>
      </w:r>
    </w:p>
    <w:p>
      <w:pPr>
        <w:pBdr>
          <w:top w:val="none" w:color="auto" w:sz="0" w:space="0"/>
          <w:left w:val="none" w:color="auto" w:sz="0" w:space="0"/>
          <w:bottom w:val="none" w:color="auto" w:sz="0" w:space="0"/>
          <w:right w:val="none" w:color="auto" w:sz="0" w:space="0"/>
        </w:pBdr>
        <w:ind w:left="0" w:right="0"/>
        <w:jc w:val="center"/>
      </w:pPr>
    </w:p>
    <w:p>
      <w:pPr>
        <w:pStyle w:val="18"/>
        <w:pBdr>
          <w:top w:val="none" w:color="auto" w:sz="0" w:space="0"/>
          <w:left w:val="none" w:color="auto" w:sz="0" w:space="0"/>
          <w:bottom w:val="none" w:color="auto" w:sz="0" w:space="0"/>
          <w:right w:val="none" w:color="auto" w:sz="0" w:space="0"/>
        </w:pBdr>
        <w:spacing w:before="0" w:after="0"/>
        <w:ind w:left="0" w:right="0" w:firstLine="320"/>
        <w:jc w:val="left"/>
        <w:rPr>
          <w:rFonts w:ascii="黑体" w:hAnsi="黑体" w:eastAsia="黑体" w:cs="黑体"/>
          <w:sz w:val="32"/>
          <w:szCs w:val="32"/>
        </w:rPr>
      </w:pPr>
      <w:r>
        <w:rPr>
          <w:rStyle w:val="19"/>
          <w:rFonts w:ascii="黑体" w:hAnsi="黑体" w:eastAsia="黑体" w:cs="黑体"/>
          <w:sz w:val="32"/>
          <w:szCs w:val="32"/>
        </w:rPr>
        <w:t>一、部门概况</w:t>
      </w:r>
    </w:p>
    <w:p>
      <w:pPr>
        <w:pStyle w:val="18"/>
        <w:pBdr>
          <w:top w:val="none" w:color="auto" w:sz="0" w:space="0"/>
          <w:left w:val="none" w:color="auto" w:sz="0" w:space="0"/>
          <w:bottom w:val="none" w:color="auto" w:sz="0" w:space="0"/>
          <w:right w:val="none" w:color="auto" w:sz="0" w:space="0"/>
        </w:pBdr>
        <w:spacing w:before="0" w:after="0"/>
        <w:ind w:left="0" w:right="0" w:firstLine="320"/>
        <w:jc w:val="center"/>
        <w:rPr>
          <w:rFonts w:ascii="KaiTi_GB2312" w:hAnsi="KaiTi_GB2312" w:eastAsia="KaiTi_GB2312" w:cs="KaiTi_GB2312"/>
          <w:sz w:val="32"/>
          <w:szCs w:val="32"/>
        </w:rPr>
      </w:pPr>
      <w:r>
        <w:rPr>
          <w:rStyle w:val="19"/>
          <w:rFonts w:ascii="KaiTi_GB2312" w:hAnsi="KaiTi_GB2312" w:eastAsia="KaiTi_GB2312" w:cs="KaiTi_GB2312"/>
          <w:sz w:val="32"/>
          <w:szCs w:val="32"/>
        </w:rPr>
        <w:t>（一）主要职能 ………………………………………（</w:t>
      </w:r>
      <w:r>
        <w:rPr>
          <w:rStyle w:val="19"/>
          <w:rFonts w:hint="eastAsia" w:ascii="KaiTi_GB2312" w:hAnsi="KaiTi_GB2312" w:eastAsia="KaiTi_GB2312" w:cs="KaiTi_GB2312"/>
          <w:sz w:val="32"/>
          <w:szCs w:val="32"/>
          <w:lang w:val="en-US" w:eastAsia="zh-CN"/>
        </w:rPr>
        <w:t>1</w:t>
      </w:r>
      <w:r>
        <w:rPr>
          <w:rStyle w:val="19"/>
          <w:rFonts w:ascii="KaiTi_GB2312" w:hAnsi="KaiTi_GB2312" w:eastAsia="KaiTi_GB2312" w:cs="KaiTi_GB2312"/>
          <w:sz w:val="32"/>
          <w:szCs w:val="32"/>
        </w:rPr>
        <w:t>）</w:t>
      </w:r>
    </w:p>
    <w:p>
      <w:pPr>
        <w:pStyle w:val="18"/>
        <w:pBdr>
          <w:top w:val="none" w:color="auto" w:sz="0" w:space="0"/>
          <w:left w:val="none" w:color="auto" w:sz="0" w:space="0"/>
          <w:bottom w:val="none" w:color="auto" w:sz="0" w:space="0"/>
          <w:right w:val="none" w:color="auto" w:sz="0" w:space="0"/>
        </w:pBdr>
        <w:spacing w:before="0" w:after="0"/>
        <w:ind w:left="0" w:right="0" w:firstLine="320"/>
        <w:jc w:val="center"/>
        <w:rPr>
          <w:rFonts w:ascii="KaiTi_GB2312" w:hAnsi="KaiTi_GB2312" w:eastAsia="KaiTi_GB2312" w:cs="KaiTi_GB2312"/>
          <w:sz w:val="32"/>
          <w:szCs w:val="32"/>
        </w:rPr>
      </w:pPr>
      <w:r>
        <w:rPr>
          <w:rStyle w:val="19"/>
          <w:rFonts w:ascii="KaiTi_GB2312" w:hAnsi="KaiTi_GB2312" w:eastAsia="KaiTi_GB2312" w:cs="KaiTi_GB2312"/>
          <w:sz w:val="32"/>
          <w:szCs w:val="32"/>
        </w:rPr>
        <w:t>（二）机构设置情况 …………………………………（</w:t>
      </w:r>
      <w:r>
        <w:rPr>
          <w:rStyle w:val="19"/>
          <w:rFonts w:hint="eastAsia" w:ascii="KaiTi_GB2312" w:hAnsi="KaiTi_GB2312" w:eastAsia="KaiTi_GB2312" w:cs="KaiTi_GB2312"/>
          <w:sz w:val="32"/>
          <w:szCs w:val="32"/>
          <w:lang w:val="en-US" w:eastAsia="zh-CN"/>
        </w:rPr>
        <w:t>1</w:t>
      </w:r>
      <w:r>
        <w:rPr>
          <w:rStyle w:val="19"/>
          <w:rFonts w:ascii="KaiTi_GB2312" w:hAnsi="KaiTi_GB2312" w:eastAsia="KaiTi_GB2312" w:cs="KaiTi_GB2312"/>
          <w:sz w:val="32"/>
          <w:szCs w:val="32"/>
        </w:rPr>
        <w:t>）</w:t>
      </w:r>
    </w:p>
    <w:p>
      <w:pPr>
        <w:pStyle w:val="18"/>
        <w:pBdr>
          <w:top w:val="none" w:color="auto" w:sz="0" w:space="0"/>
          <w:left w:val="none" w:color="auto" w:sz="0" w:space="0"/>
          <w:bottom w:val="none" w:color="auto" w:sz="0" w:space="0"/>
          <w:right w:val="none" w:color="auto" w:sz="0" w:space="0"/>
        </w:pBdr>
        <w:spacing w:before="0" w:after="0"/>
        <w:ind w:left="0" w:right="0" w:firstLine="320"/>
        <w:jc w:val="left"/>
        <w:rPr>
          <w:rFonts w:ascii="黑体" w:hAnsi="黑体" w:eastAsia="黑体" w:cs="黑体"/>
          <w:sz w:val="32"/>
          <w:szCs w:val="32"/>
        </w:rPr>
      </w:pPr>
      <w:r>
        <w:rPr>
          <w:rStyle w:val="19"/>
          <w:rFonts w:ascii="黑体" w:hAnsi="黑体" w:eastAsia="黑体" w:cs="黑体"/>
          <w:sz w:val="32"/>
          <w:szCs w:val="32"/>
        </w:rPr>
        <w:t>二、</w:t>
      </w:r>
      <w:r>
        <w:rPr>
          <w:rStyle w:val="16"/>
          <w:sz w:val="32"/>
          <w:szCs w:val="32"/>
        </w:rPr>
        <w:t>2024</w:t>
      </w:r>
      <w:r>
        <w:rPr>
          <w:rStyle w:val="19"/>
          <w:rFonts w:ascii="黑体" w:hAnsi="黑体" w:eastAsia="黑体" w:cs="黑体"/>
          <w:sz w:val="32"/>
          <w:szCs w:val="32"/>
        </w:rPr>
        <w:t>年杭州市对口支援和区域合作局部门预算安排情况说明</w:t>
      </w:r>
    </w:p>
    <w:p>
      <w:pPr>
        <w:pStyle w:val="18"/>
        <w:pBdr>
          <w:top w:val="none" w:color="auto" w:sz="0" w:space="0"/>
          <w:left w:val="none" w:color="auto" w:sz="0" w:space="0"/>
          <w:bottom w:val="none" w:color="auto" w:sz="0" w:space="0"/>
          <w:right w:val="none" w:color="auto" w:sz="0" w:space="0"/>
        </w:pBdr>
        <w:spacing w:before="0" w:after="0"/>
        <w:ind w:left="0" w:right="0" w:firstLine="320"/>
        <w:jc w:val="center"/>
        <w:rPr>
          <w:rFonts w:ascii="KaiTi_GB2312" w:hAnsi="KaiTi_GB2312" w:eastAsia="KaiTi_GB2312" w:cs="KaiTi_GB2312"/>
          <w:sz w:val="32"/>
          <w:szCs w:val="32"/>
        </w:rPr>
      </w:pPr>
      <w:r>
        <w:rPr>
          <w:rStyle w:val="19"/>
          <w:rFonts w:ascii="KaiTi_GB2312" w:hAnsi="KaiTi_GB2312" w:eastAsia="KaiTi_GB2312" w:cs="KaiTi_GB2312"/>
          <w:sz w:val="32"/>
          <w:szCs w:val="32"/>
        </w:rPr>
        <w:t>（一）收支预算情况的总体说明 ……………………（</w:t>
      </w:r>
      <w:r>
        <w:rPr>
          <w:rStyle w:val="19"/>
          <w:rFonts w:hint="eastAsia" w:ascii="KaiTi_GB2312" w:hAnsi="KaiTi_GB2312" w:eastAsia="KaiTi_GB2312" w:cs="KaiTi_GB2312"/>
          <w:sz w:val="32"/>
          <w:szCs w:val="32"/>
          <w:lang w:val="en-US" w:eastAsia="zh-CN"/>
        </w:rPr>
        <w:t>1</w:t>
      </w:r>
      <w:r>
        <w:rPr>
          <w:rStyle w:val="19"/>
          <w:rFonts w:ascii="KaiTi_GB2312" w:hAnsi="KaiTi_GB2312" w:eastAsia="KaiTi_GB2312" w:cs="KaiTi_GB2312"/>
          <w:sz w:val="32"/>
          <w:szCs w:val="32"/>
        </w:rPr>
        <w:t>）</w:t>
      </w:r>
    </w:p>
    <w:p>
      <w:pPr>
        <w:pStyle w:val="18"/>
        <w:pBdr>
          <w:top w:val="none" w:color="auto" w:sz="0" w:space="0"/>
          <w:left w:val="none" w:color="auto" w:sz="0" w:space="0"/>
          <w:bottom w:val="none" w:color="auto" w:sz="0" w:space="0"/>
          <w:right w:val="none" w:color="auto" w:sz="0" w:space="0"/>
        </w:pBdr>
        <w:spacing w:before="0" w:after="0"/>
        <w:ind w:left="0" w:right="0" w:firstLine="320"/>
        <w:jc w:val="center"/>
        <w:rPr>
          <w:rFonts w:ascii="KaiTi_GB2312" w:hAnsi="KaiTi_GB2312" w:eastAsia="KaiTi_GB2312" w:cs="KaiTi_GB2312"/>
          <w:sz w:val="32"/>
          <w:szCs w:val="32"/>
        </w:rPr>
      </w:pPr>
      <w:r>
        <w:rPr>
          <w:rStyle w:val="19"/>
          <w:rFonts w:ascii="KaiTi_GB2312" w:hAnsi="KaiTi_GB2312" w:eastAsia="KaiTi_GB2312" w:cs="KaiTi_GB2312"/>
          <w:sz w:val="32"/>
          <w:szCs w:val="32"/>
        </w:rPr>
        <w:t>（二）收入预算情况说明 ……………………………（</w:t>
      </w:r>
      <w:r>
        <w:rPr>
          <w:rStyle w:val="19"/>
          <w:rFonts w:hint="eastAsia" w:ascii="KaiTi_GB2312" w:hAnsi="KaiTi_GB2312" w:eastAsia="KaiTi_GB2312" w:cs="KaiTi_GB2312"/>
          <w:sz w:val="32"/>
          <w:szCs w:val="32"/>
          <w:lang w:val="en-US" w:eastAsia="zh-CN"/>
        </w:rPr>
        <w:t>2</w:t>
      </w:r>
      <w:r>
        <w:rPr>
          <w:rStyle w:val="19"/>
          <w:rFonts w:ascii="KaiTi_GB2312" w:hAnsi="KaiTi_GB2312" w:eastAsia="KaiTi_GB2312" w:cs="KaiTi_GB2312"/>
          <w:sz w:val="32"/>
          <w:szCs w:val="32"/>
        </w:rPr>
        <w:t>）</w:t>
      </w:r>
    </w:p>
    <w:p>
      <w:pPr>
        <w:pStyle w:val="18"/>
        <w:pBdr>
          <w:top w:val="none" w:color="auto" w:sz="0" w:space="0"/>
          <w:left w:val="none" w:color="auto" w:sz="0" w:space="0"/>
          <w:bottom w:val="none" w:color="auto" w:sz="0" w:space="0"/>
          <w:right w:val="none" w:color="auto" w:sz="0" w:space="0"/>
        </w:pBdr>
        <w:spacing w:before="0" w:after="0"/>
        <w:ind w:left="0" w:right="0" w:firstLine="320"/>
        <w:jc w:val="center"/>
        <w:rPr>
          <w:rFonts w:ascii="KaiTi_GB2312" w:hAnsi="KaiTi_GB2312" w:eastAsia="KaiTi_GB2312" w:cs="KaiTi_GB2312"/>
          <w:sz w:val="32"/>
          <w:szCs w:val="32"/>
        </w:rPr>
      </w:pPr>
      <w:r>
        <w:rPr>
          <w:rStyle w:val="19"/>
          <w:rFonts w:ascii="KaiTi_GB2312" w:hAnsi="KaiTi_GB2312" w:eastAsia="KaiTi_GB2312" w:cs="KaiTi_GB2312"/>
          <w:sz w:val="32"/>
          <w:szCs w:val="32"/>
        </w:rPr>
        <w:t>（三）支出预算情况说明</w:t>
      </w:r>
      <w:r>
        <w:rPr>
          <w:rFonts w:ascii="KaiTi_GB2312" w:hAnsi="KaiTi_GB2312" w:eastAsia="KaiTi_GB2312" w:cs="KaiTi_GB2312"/>
          <w:sz w:val="32"/>
          <w:szCs w:val="32"/>
        </w:rPr>
        <w:t xml:space="preserve"> </w:t>
      </w:r>
      <w:r>
        <w:rPr>
          <w:rStyle w:val="19"/>
          <w:rFonts w:ascii="KaiTi_GB2312" w:hAnsi="KaiTi_GB2312" w:eastAsia="KaiTi_GB2312" w:cs="KaiTi_GB2312"/>
          <w:sz w:val="32"/>
          <w:szCs w:val="32"/>
        </w:rPr>
        <w:t>……………………………（</w:t>
      </w:r>
      <w:r>
        <w:rPr>
          <w:rStyle w:val="19"/>
          <w:rFonts w:hint="eastAsia" w:ascii="KaiTi_GB2312" w:hAnsi="KaiTi_GB2312" w:eastAsia="KaiTi_GB2312" w:cs="KaiTi_GB2312"/>
          <w:sz w:val="32"/>
          <w:szCs w:val="32"/>
          <w:lang w:val="en-US" w:eastAsia="zh-CN"/>
        </w:rPr>
        <w:t>2</w:t>
      </w:r>
      <w:r>
        <w:rPr>
          <w:rStyle w:val="19"/>
          <w:rFonts w:ascii="KaiTi_GB2312" w:hAnsi="KaiTi_GB2312" w:eastAsia="KaiTi_GB2312" w:cs="KaiTi_GB2312"/>
          <w:sz w:val="32"/>
          <w:szCs w:val="32"/>
        </w:rPr>
        <w:t>）</w:t>
      </w:r>
    </w:p>
    <w:p>
      <w:pPr>
        <w:pStyle w:val="18"/>
        <w:pBdr>
          <w:top w:val="none" w:color="auto" w:sz="0" w:space="0"/>
          <w:left w:val="none" w:color="auto" w:sz="0" w:space="0"/>
          <w:bottom w:val="none" w:color="auto" w:sz="0" w:space="0"/>
          <w:right w:val="none" w:color="auto" w:sz="0" w:space="0"/>
        </w:pBdr>
        <w:spacing w:before="0" w:after="0"/>
        <w:ind w:left="0" w:right="0" w:firstLine="320"/>
        <w:jc w:val="center"/>
        <w:rPr>
          <w:rFonts w:ascii="KaiTi_GB2312" w:hAnsi="KaiTi_GB2312" w:eastAsia="KaiTi_GB2312" w:cs="KaiTi_GB2312"/>
          <w:sz w:val="32"/>
          <w:szCs w:val="32"/>
        </w:rPr>
      </w:pPr>
      <w:r>
        <w:rPr>
          <w:rStyle w:val="19"/>
          <w:rFonts w:ascii="KaiTi_GB2312" w:hAnsi="KaiTi_GB2312" w:eastAsia="KaiTi_GB2312" w:cs="KaiTi_GB2312"/>
          <w:sz w:val="32"/>
          <w:szCs w:val="32"/>
        </w:rPr>
        <w:t>（四）财政拨款收支预算情况的总体说明 …………（</w:t>
      </w:r>
      <w:r>
        <w:rPr>
          <w:rStyle w:val="19"/>
          <w:rFonts w:hint="eastAsia" w:ascii="KaiTi_GB2312" w:hAnsi="KaiTi_GB2312" w:eastAsia="KaiTi_GB2312" w:cs="KaiTi_GB2312"/>
          <w:sz w:val="32"/>
          <w:szCs w:val="32"/>
          <w:lang w:val="en-US" w:eastAsia="zh-CN"/>
        </w:rPr>
        <w:t>3</w:t>
      </w:r>
      <w:r>
        <w:rPr>
          <w:rStyle w:val="19"/>
          <w:rFonts w:ascii="KaiTi_GB2312" w:hAnsi="KaiTi_GB2312" w:eastAsia="KaiTi_GB2312" w:cs="KaiTi_GB2312"/>
          <w:sz w:val="32"/>
          <w:szCs w:val="32"/>
        </w:rPr>
        <w:t>）</w:t>
      </w:r>
    </w:p>
    <w:p>
      <w:pPr>
        <w:pStyle w:val="18"/>
        <w:pBdr>
          <w:top w:val="none" w:color="auto" w:sz="0" w:space="0"/>
          <w:left w:val="none" w:color="auto" w:sz="0" w:space="0"/>
          <w:bottom w:val="none" w:color="auto" w:sz="0" w:space="0"/>
          <w:right w:val="none" w:color="auto" w:sz="0" w:space="0"/>
        </w:pBdr>
        <w:spacing w:before="0" w:after="0"/>
        <w:ind w:left="0" w:right="0" w:firstLine="320"/>
        <w:jc w:val="center"/>
        <w:rPr>
          <w:rFonts w:ascii="KaiTi_GB2312" w:hAnsi="KaiTi_GB2312" w:eastAsia="KaiTi_GB2312" w:cs="KaiTi_GB2312"/>
          <w:sz w:val="32"/>
          <w:szCs w:val="32"/>
        </w:rPr>
      </w:pPr>
      <w:r>
        <w:rPr>
          <w:rStyle w:val="19"/>
          <w:rFonts w:ascii="KaiTi_GB2312" w:hAnsi="KaiTi_GB2312" w:eastAsia="KaiTi_GB2312" w:cs="KaiTi_GB2312"/>
          <w:sz w:val="32"/>
          <w:szCs w:val="32"/>
        </w:rPr>
        <w:t>（五）一般公共预算当年拨款情况说明 ……………（</w:t>
      </w:r>
      <w:r>
        <w:rPr>
          <w:rStyle w:val="19"/>
          <w:rFonts w:hint="eastAsia" w:ascii="KaiTi_GB2312" w:hAnsi="KaiTi_GB2312" w:eastAsia="KaiTi_GB2312" w:cs="KaiTi_GB2312"/>
          <w:sz w:val="32"/>
          <w:szCs w:val="32"/>
          <w:lang w:val="en-US" w:eastAsia="zh-CN"/>
        </w:rPr>
        <w:t>3</w:t>
      </w:r>
      <w:r>
        <w:rPr>
          <w:rStyle w:val="19"/>
          <w:rFonts w:ascii="KaiTi_GB2312" w:hAnsi="KaiTi_GB2312" w:eastAsia="KaiTi_GB2312" w:cs="KaiTi_GB2312"/>
          <w:sz w:val="32"/>
          <w:szCs w:val="32"/>
        </w:rPr>
        <w:t>）</w:t>
      </w:r>
    </w:p>
    <w:p>
      <w:pPr>
        <w:pStyle w:val="18"/>
        <w:pBdr>
          <w:top w:val="none" w:color="auto" w:sz="0" w:space="0"/>
          <w:left w:val="none" w:color="auto" w:sz="0" w:space="0"/>
          <w:bottom w:val="none" w:color="auto" w:sz="0" w:space="0"/>
          <w:right w:val="none" w:color="auto" w:sz="0" w:space="0"/>
        </w:pBdr>
        <w:spacing w:before="0" w:after="0"/>
        <w:ind w:left="0" w:right="0" w:firstLine="320"/>
        <w:jc w:val="center"/>
        <w:rPr>
          <w:rFonts w:ascii="KaiTi_GB2312" w:hAnsi="KaiTi_GB2312" w:eastAsia="KaiTi_GB2312" w:cs="KaiTi_GB2312"/>
          <w:sz w:val="32"/>
          <w:szCs w:val="32"/>
        </w:rPr>
      </w:pPr>
      <w:r>
        <w:rPr>
          <w:rStyle w:val="19"/>
          <w:rFonts w:ascii="KaiTi_GB2312" w:hAnsi="KaiTi_GB2312" w:eastAsia="KaiTi_GB2312" w:cs="KaiTi_GB2312"/>
          <w:sz w:val="32"/>
          <w:szCs w:val="32"/>
        </w:rPr>
        <w:t>（六）一般公共预算基本支出情况说明 ……………（</w:t>
      </w:r>
      <w:r>
        <w:rPr>
          <w:rStyle w:val="19"/>
          <w:rFonts w:hint="eastAsia" w:ascii="KaiTi_GB2312" w:hAnsi="KaiTi_GB2312" w:eastAsia="KaiTi_GB2312" w:cs="KaiTi_GB2312"/>
          <w:sz w:val="32"/>
          <w:szCs w:val="32"/>
          <w:lang w:val="en-US" w:eastAsia="zh-CN"/>
        </w:rPr>
        <w:t>5</w:t>
      </w:r>
      <w:r>
        <w:rPr>
          <w:rStyle w:val="19"/>
          <w:rFonts w:ascii="KaiTi_GB2312" w:hAnsi="KaiTi_GB2312" w:eastAsia="KaiTi_GB2312" w:cs="KaiTi_GB2312"/>
          <w:sz w:val="32"/>
          <w:szCs w:val="32"/>
        </w:rPr>
        <w:t>）</w:t>
      </w:r>
    </w:p>
    <w:p>
      <w:pPr>
        <w:pStyle w:val="18"/>
        <w:pBdr>
          <w:top w:val="none" w:color="auto" w:sz="0" w:space="0"/>
          <w:left w:val="none" w:color="auto" w:sz="0" w:space="0"/>
          <w:bottom w:val="none" w:color="auto" w:sz="0" w:space="0"/>
          <w:right w:val="none" w:color="auto" w:sz="0" w:space="0"/>
        </w:pBdr>
        <w:spacing w:before="0" w:after="0"/>
        <w:ind w:left="0" w:right="0" w:firstLine="320"/>
        <w:jc w:val="center"/>
        <w:rPr>
          <w:rFonts w:ascii="KaiTi_GB2312" w:hAnsi="KaiTi_GB2312" w:eastAsia="KaiTi_GB2312" w:cs="KaiTi_GB2312"/>
          <w:sz w:val="32"/>
          <w:szCs w:val="32"/>
        </w:rPr>
      </w:pPr>
      <w:r>
        <w:rPr>
          <w:rStyle w:val="19"/>
          <w:rFonts w:ascii="KaiTi_GB2312" w:hAnsi="KaiTi_GB2312" w:eastAsia="KaiTi_GB2312" w:cs="KaiTi_GB2312"/>
          <w:sz w:val="32"/>
          <w:szCs w:val="32"/>
        </w:rPr>
        <w:t>（七）一般公共预算“三公”经费预算情况说明 …（</w:t>
      </w:r>
      <w:r>
        <w:rPr>
          <w:rStyle w:val="19"/>
          <w:rFonts w:hint="eastAsia" w:ascii="KaiTi_GB2312" w:hAnsi="KaiTi_GB2312" w:eastAsia="KaiTi_GB2312" w:cs="KaiTi_GB2312"/>
          <w:sz w:val="32"/>
          <w:szCs w:val="32"/>
          <w:lang w:val="en-US" w:eastAsia="zh-CN"/>
        </w:rPr>
        <w:t>5</w:t>
      </w:r>
      <w:r>
        <w:rPr>
          <w:rStyle w:val="19"/>
          <w:rFonts w:ascii="KaiTi_GB2312" w:hAnsi="KaiTi_GB2312" w:eastAsia="KaiTi_GB2312" w:cs="KaiTi_GB2312"/>
          <w:sz w:val="32"/>
          <w:szCs w:val="32"/>
        </w:rPr>
        <w:t>）</w:t>
      </w:r>
    </w:p>
    <w:p>
      <w:pPr>
        <w:pStyle w:val="18"/>
        <w:pBdr>
          <w:top w:val="none" w:color="auto" w:sz="0" w:space="0"/>
          <w:left w:val="none" w:color="auto" w:sz="0" w:space="0"/>
          <w:bottom w:val="none" w:color="auto" w:sz="0" w:space="0"/>
          <w:right w:val="none" w:color="auto" w:sz="0" w:space="0"/>
        </w:pBdr>
        <w:spacing w:before="0" w:after="0"/>
        <w:ind w:left="0" w:right="0" w:firstLine="320"/>
        <w:jc w:val="center"/>
        <w:rPr>
          <w:rFonts w:ascii="KaiTi_GB2312" w:hAnsi="KaiTi_GB2312" w:eastAsia="KaiTi_GB2312" w:cs="KaiTi_GB2312"/>
          <w:sz w:val="32"/>
          <w:szCs w:val="32"/>
        </w:rPr>
      </w:pPr>
      <w:r>
        <w:rPr>
          <w:rStyle w:val="19"/>
          <w:rFonts w:ascii="KaiTi_GB2312" w:hAnsi="KaiTi_GB2312" w:eastAsia="KaiTi_GB2312" w:cs="KaiTi_GB2312"/>
          <w:sz w:val="32"/>
          <w:szCs w:val="32"/>
        </w:rPr>
        <w:t>（八）政府性基金预算支出情况说明 ………………（</w:t>
      </w:r>
      <w:r>
        <w:rPr>
          <w:rStyle w:val="19"/>
          <w:rFonts w:hint="eastAsia" w:ascii="KaiTi_GB2312" w:hAnsi="KaiTi_GB2312" w:eastAsia="KaiTi_GB2312" w:cs="KaiTi_GB2312"/>
          <w:sz w:val="32"/>
          <w:szCs w:val="32"/>
          <w:lang w:val="en-US" w:eastAsia="zh-CN"/>
        </w:rPr>
        <w:t>6</w:t>
      </w:r>
      <w:r>
        <w:rPr>
          <w:rStyle w:val="19"/>
          <w:rFonts w:ascii="KaiTi_GB2312" w:hAnsi="KaiTi_GB2312" w:eastAsia="KaiTi_GB2312" w:cs="KaiTi_GB2312"/>
          <w:sz w:val="32"/>
          <w:szCs w:val="32"/>
        </w:rPr>
        <w:t>）</w:t>
      </w:r>
    </w:p>
    <w:p>
      <w:pPr>
        <w:pStyle w:val="18"/>
        <w:pBdr>
          <w:top w:val="none" w:color="auto" w:sz="0" w:space="0"/>
          <w:left w:val="none" w:color="auto" w:sz="0" w:space="0"/>
          <w:bottom w:val="none" w:color="auto" w:sz="0" w:space="0"/>
          <w:right w:val="none" w:color="auto" w:sz="0" w:space="0"/>
        </w:pBdr>
        <w:spacing w:before="0" w:after="0"/>
        <w:ind w:left="0" w:right="0" w:firstLine="320"/>
        <w:jc w:val="center"/>
        <w:rPr>
          <w:rFonts w:ascii="KaiTi_GB2312" w:hAnsi="KaiTi_GB2312" w:eastAsia="KaiTi_GB2312" w:cs="KaiTi_GB2312"/>
          <w:sz w:val="32"/>
          <w:szCs w:val="32"/>
        </w:rPr>
      </w:pPr>
      <w:r>
        <w:rPr>
          <w:rStyle w:val="19"/>
          <w:rFonts w:ascii="KaiTi_GB2312" w:hAnsi="KaiTi_GB2312" w:eastAsia="KaiTi_GB2312" w:cs="KaiTi_GB2312"/>
          <w:sz w:val="32"/>
          <w:szCs w:val="32"/>
        </w:rPr>
        <w:t>（九）国有资本经营预算支出情况说明 ……………（</w:t>
      </w:r>
      <w:r>
        <w:rPr>
          <w:rStyle w:val="19"/>
          <w:rFonts w:hint="eastAsia" w:ascii="KaiTi_GB2312" w:hAnsi="KaiTi_GB2312" w:eastAsia="KaiTi_GB2312" w:cs="KaiTi_GB2312"/>
          <w:sz w:val="32"/>
          <w:szCs w:val="32"/>
          <w:lang w:val="en-US" w:eastAsia="zh-CN"/>
        </w:rPr>
        <w:t>6</w:t>
      </w:r>
      <w:r>
        <w:rPr>
          <w:rStyle w:val="19"/>
          <w:rFonts w:ascii="KaiTi_GB2312" w:hAnsi="KaiTi_GB2312" w:eastAsia="KaiTi_GB2312" w:cs="KaiTi_GB2312"/>
          <w:sz w:val="32"/>
          <w:szCs w:val="32"/>
        </w:rPr>
        <w:t>）</w:t>
      </w:r>
    </w:p>
    <w:p>
      <w:pPr>
        <w:pStyle w:val="18"/>
        <w:pBdr>
          <w:top w:val="none" w:color="auto" w:sz="0" w:space="0"/>
          <w:left w:val="none" w:color="auto" w:sz="0" w:space="0"/>
          <w:bottom w:val="none" w:color="auto" w:sz="0" w:space="0"/>
          <w:right w:val="none" w:color="auto" w:sz="0" w:space="0"/>
        </w:pBdr>
        <w:spacing w:before="0" w:after="0"/>
        <w:ind w:left="0" w:right="0" w:firstLine="320"/>
        <w:jc w:val="center"/>
        <w:rPr>
          <w:rFonts w:ascii="KaiTi_GB2312" w:hAnsi="KaiTi_GB2312" w:eastAsia="KaiTi_GB2312" w:cs="KaiTi_GB2312"/>
          <w:sz w:val="32"/>
          <w:szCs w:val="32"/>
        </w:rPr>
      </w:pPr>
      <w:r>
        <w:rPr>
          <w:rStyle w:val="19"/>
          <w:rFonts w:ascii="KaiTi_GB2312" w:hAnsi="KaiTi_GB2312" w:eastAsia="KaiTi_GB2312" w:cs="KaiTi_GB2312"/>
          <w:sz w:val="32"/>
          <w:szCs w:val="32"/>
        </w:rPr>
        <w:t>（十）其他重要事项的情况说明 ……………………（</w:t>
      </w:r>
      <w:r>
        <w:rPr>
          <w:rStyle w:val="19"/>
          <w:rFonts w:hint="eastAsia" w:ascii="KaiTi_GB2312" w:hAnsi="KaiTi_GB2312" w:eastAsia="KaiTi_GB2312" w:cs="KaiTi_GB2312"/>
          <w:sz w:val="32"/>
          <w:szCs w:val="32"/>
          <w:lang w:val="en-US" w:eastAsia="zh-CN"/>
        </w:rPr>
        <w:t>7</w:t>
      </w:r>
      <w:r>
        <w:rPr>
          <w:rStyle w:val="19"/>
          <w:rFonts w:ascii="KaiTi_GB2312" w:hAnsi="KaiTi_GB2312" w:eastAsia="KaiTi_GB2312" w:cs="KaiTi_GB2312"/>
          <w:sz w:val="32"/>
          <w:szCs w:val="32"/>
        </w:rPr>
        <w:t>）</w:t>
      </w:r>
    </w:p>
    <w:p>
      <w:pPr>
        <w:pStyle w:val="18"/>
        <w:pBdr>
          <w:top w:val="none" w:color="auto" w:sz="0" w:space="0"/>
          <w:left w:val="none" w:color="auto" w:sz="0" w:space="0"/>
          <w:bottom w:val="none" w:color="auto" w:sz="0" w:space="0"/>
          <w:right w:val="none" w:color="auto" w:sz="0" w:space="0"/>
        </w:pBdr>
        <w:spacing w:before="0" w:after="0"/>
        <w:ind w:left="0" w:right="0" w:firstLine="320"/>
        <w:jc w:val="left"/>
        <w:rPr>
          <w:rFonts w:ascii="黑体" w:hAnsi="黑体" w:eastAsia="黑体" w:cs="黑体"/>
          <w:sz w:val="32"/>
          <w:szCs w:val="32"/>
        </w:rPr>
      </w:pPr>
      <w:r>
        <w:rPr>
          <w:rStyle w:val="19"/>
          <w:rFonts w:ascii="黑体" w:hAnsi="黑体" w:eastAsia="黑体" w:cs="黑体"/>
          <w:sz w:val="32"/>
          <w:szCs w:val="32"/>
        </w:rPr>
        <w:t>三、名词解释</w:t>
      </w:r>
    </w:p>
    <w:p>
      <w:pPr>
        <w:pStyle w:val="18"/>
        <w:pBdr>
          <w:top w:val="none" w:color="auto" w:sz="0" w:space="0"/>
          <w:left w:val="none" w:color="auto" w:sz="0" w:space="0"/>
          <w:bottom w:val="none" w:color="auto" w:sz="0" w:space="0"/>
          <w:right w:val="none" w:color="auto" w:sz="0" w:space="0"/>
        </w:pBdr>
        <w:spacing w:before="0" w:after="16845"/>
        <w:ind w:left="0" w:right="0" w:firstLine="320"/>
        <w:jc w:val="left"/>
        <w:rPr>
          <w:rFonts w:ascii="FangSong_GB2312" w:hAnsi="FangSong_GB2312" w:eastAsia="FangSong_GB2312" w:cs="FangSong_GB2312"/>
          <w:sz w:val="32"/>
          <w:szCs w:val="32"/>
        </w:rPr>
      </w:pPr>
      <w:r>
        <w:rPr>
          <w:rStyle w:val="19"/>
          <w:rFonts w:ascii="黑体" w:hAnsi="黑体" w:eastAsia="黑体" w:cs="黑体"/>
          <w:sz w:val="32"/>
          <w:szCs w:val="32"/>
        </w:rPr>
        <w:t>四、</w:t>
      </w:r>
      <w:r>
        <w:rPr>
          <w:rStyle w:val="16"/>
          <w:sz w:val="32"/>
          <w:szCs w:val="32"/>
        </w:rPr>
        <w:t>2024</w:t>
      </w:r>
      <w:r>
        <w:rPr>
          <w:rStyle w:val="19"/>
          <w:rFonts w:ascii="黑体" w:hAnsi="黑体" w:eastAsia="黑体" w:cs="黑体"/>
          <w:sz w:val="32"/>
          <w:szCs w:val="32"/>
        </w:rPr>
        <w:t>年杭州市对口支援和区域合作局预算公开表</w:t>
      </w:r>
    </w:p>
    <w:p>
      <w:pPr>
        <w:pStyle w:val="23"/>
        <w:pBdr>
          <w:top w:val="none" w:color="auto" w:sz="0" w:space="0"/>
          <w:left w:val="none" w:color="auto" w:sz="0" w:space="0"/>
          <w:bottom w:val="none" w:color="auto" w:sz="0" w:space="0"/>
          <w:right w:val="none" w:color="auto" w:sz="0" w:space="0"/>
        </w:pBdr>
        <w:spacing w:before="0" w:after="0"/>
        <w:ind w:left="0" w:right="0"/>
        <w:jc w:val="left"/>
        <w:sectPr>
          <w:footerReference r:id="rId5" w:type="default"/>
          <w:pgMar w:top="1440" w:right="1800" w:bottom="1440" w:left="1800" w:header="708" w:footer="708" w:gutter="0"/>
          <w:pgNumType w:start="1"/>
          <w:cols w:space="708" w:num="1"/>
        </w:sectPr>
      </w:pPr>
    </w:p>
    <w:p>
      <w:pPr>
        <w:pStyle w:val="23"/>
        <w:pBdr>
          <w:top w:val="none" w:color="auto" w:sz="0" w:space="0"/>
          <w:left w:val="none" w:color="auto" w:sz="0" w:space="0"/>
          <w:bottom w:val="none" w:color="auto" w:sz="0" w:space="0"/>
          <w:right w:val="none" w:color="auto" w:sz="0" w:space="0"/>
        </w:pBdr>
        <w:spacing w:before="0" w:after="0"/>
        <w:ind w:left="0" w:right="0"/>
        <w:jc w:val="left"/>
        <w:rPr>
          <w:rFonts w:ascii="黑体" w:hAnsi="黑体" w:eastAsia="黑体" w:cs="黑体"/>
          <w:sz w:val="32"/>
          <w:szCs w:val="32"/>
        </w:rPr>
      </w:pPr>
      <w:r>
        <w:t>一、部门概况</w:t>
      </w:r>
    </w:p>
    <w:p>
      <w:pPr>
        <w:pStyle w:val="24"/>
        <w:spacing w:before="0" w:after="0" w:line="560" w:lineRule="atLeast"/>
        <w:ind w:left="0" w:right="0" w:firstLine="640"/>
        <w:jc w:val="both"/>
        <w:rPr>
          <w:rFonts w:ascii="KaiTi_GB2312" w:hAnsi="KaiTi_GB2312" w:eastAsia="KaiTi_GB2312" w:cs="KaiTi_GB2312"/>
          <w:sz w:val="32"/>
          <w:szCs w:val="32"/>
        </w:rPr>
      </w:pPr>
      <w:r>
        <w:rPr>
          <w:rFonts w:ascii="KaiTi_GB2312" w:hAnsi="KaiTi_GB2312" w:eastAsia="KaiTi_GB2312" w:cs="KaiTi_GB2312"/>
          <w:sz w:val="32"/>
          <w:szCs w:val="32"/>
        </w:rPr>
        <w:t>（一）主要职能</w:t>
      </w:r>
    </w:p>
    <w:p>
      <w:pPr>
        <w:keepNext w:val="0"/>
        <w:keepLines w:val="0"/>
        <w:pageBreakBefore w:val="0"/>
        <w:widowControl/>
        <w:kinsoku/>
        <w:wordWrap/>
        <w:overflowPunct/>
        <w:topLinePunct w:val="0"/>
        <w:autoSpaceDE/>
        <w:autoSpaceDN/>
        <w:bidi w:val="0"/>
        <w:adjustRightInd/>
        <w:snapToGrid/>
        <w:spacing w:line="560" w:lineRule="exact"/>
        <w:ind w:firstLine="566" w:firstLineChars="177"/>
        <w:jc w:val="both"/>
        <w:textAlignment w:val="auto"/>
        <w:rPr>
          <w:rFonts w:hint="eastAsia" w:ascii="FangSong_GB2312" w:hAnsi="FangSong_GB2312" w:eastAsia="FangSong_GB2312" w:cs="FangSong_GB2312"/>
          <w:color w:val="333333"/>
          <w:sz w:val="32"/>
          <w:szCs w:val="32"/>
          <w:lang w:val="en-US" w:eastAsia="zh-CN" w:bidi="ar-SA"/>
        </w:rPr>
      </w:pPr>
      <w:r>
        <w:rPr>
          <w:rFonts w:hint="eastAsia" w:ascii="FangSong_GB2312" w:hAnsi="FangSong_GB2312" w:eastAsia="FangSong_GB2312" w:cs="FangSong_GB2312"/>
          <w:color w:val="333333"/>
          <w:sz w:val="32"/>
          <w:szCs w:val="32"/>
          <w:lang w:val="en-US" w:eastAsia="zh-CN" w:bidi="ar-SA"/>
        </w:rPr>
        <w:t>1、贯彻落实中央、省委和市委关于对口支援、对口帮扶和区域合作工作的方针政策及决策部署，负责指导、协调、服务和监督全市对口支援、对口帮扶和对口合作工作。</w:t>
      </w:r>
    </w:p>
    <w:p>
      <w:pPr>
        <w:keepNext w:val="0"/>
        <w:keepLines w:val="0"/>
        <w:pageBreakBefore w:val="0"/>
        <w:widowControl/>
        <w:kinsoku/>
        <w:wordWrap/>
        <w:overflowPunct/>
        <w:topLinePunct w:val="0"/>
        <w:autoSpaceDE/>
        <w:autoSpaceDN/>
        <w:bidi w:val="0"/>
        <w:adjustRightInd/>
        <w:snapToGrid/>
        <w:spacing w:line="560" w:lineRule="exact"/>
        <w:ind w:firstLine="566" w:firstLineChars="177"/>
        <w:jc w:val="both"/>
        <w:textAlignment w:val="auto"/>
        <w:rPr>
          <w:rFonts w:hint="eastAsia" w:ascii="FangSong_GB2312" w:hAnsi="FangSong_GB2312" w:eastAsia="FangSong_GB2312" w:cs="FangSong_GB2312"/>
          <w:color w:val="333333"/>
          <w:sz w:val="32"/>
          <w:szCs w:val="32"/>
          <w:lang w:val="en-US" w:eastAsia="zh-CN" w:bidi="ar-SA"/>
        </w:rPr>
      </w:pPr>
      <w:r>
        <w:rPr>
          <w:rFonts w:hint="eastAsia" w:ascii="FangSong_GB2312" w:hAnsi="FangSong_GB2312" w:eastAsia="FangSong_GB2312" w:cs="FangSong_GB2312"/>
          <w:color w:val="333333"/>
          <w:sz w:val="32"/>
          <w:szCs w:val="32"/>
          <w:lang w:val="en-US" w:eastAsia="zh-CN" w:bidi="ar-SA"/>
        </w:rPr>
        <w:t>2、负责全市“山海协作工程”工作的组织、指导、协调和监督工作。</w:t>
      </w:r>
    </w:p>
    <w:p>
      <w:pPr>
        <w:keepNext w:val="0"/>
        <w:keepLines w:val="0"/>
        <w:pageBreakBefore w:val="0"/>
        <w:widowControl/>
        <w:kinsoku/>
        <w:wordWrap/>
        <w:overflowPunct/>
        <w:topLinePunct w:val="0"/>
        <w:autoSpaceDE/>
        <w:autoSpaceDN/>
        <w:bidi w:val="0"/>
        <w:adjustRightInd/>
        <w:snapToGrid/>
        <w:spacing w:line="560" w:lineRule="exact"/>
        <w:ind w:firstLine="566" w:firstLineChars="177"/>
        <w:jc w:val="both"/>
        <w:textAlignment w:val="auto"/>
        <w:rPr>
          <w:rFonts w:hint="eastAsia" w:ascii="FangSong_GB2312" w:hAnsi="FangSong_GB2312" w:eastAsia="FangSong_GB2312" w:cs="FangSong_GB2312"/>
          <w:color w:val="333333"/>
          <w:sz w:val="32"/>
          <w:szCs w:val="32"/>
          <w:lang w:val="en-US" w:eastAsia="zh-CN" w:bidi="ar-SA"/>
        </w:rPr>
      </w:pPr>
      <w:r>
        <w:rPr>
          <w:rFonts w:hint="eastAsia" w:ascii="FangSong_GB2312" w:hAnsi="FangSong_GB2312" w:eastAsia="FangSong_GB2312" w:cs="FangSong_GB2312"/>
          <w:color w:val="333333"/>
          <w:sz w:val="32"/>
          <w:szCs w:val="32"/>
          <w:lang w:val="en-US" w:eastAsia="zh-CN" w:bidi="ar-SA"/>
        </w:rPr>
        <w:t>3、贯彻执行国家和省、市有关区域发展和扩大对内开放的战略方针部署，指导、协调和服务区域经济合作工作。</w:t>
      </w:r>
    </w:p>
    <w:p>
      <w:pPr>
        <w:keepNext w:val="0"/>
        <w:keepLines w:val="0"/>
        <w:pageBreakBefore w:val="0"/>
        <w:widowControl/>
        <w:kinsoku/>
        <w:wordWrap/>
        <w:overflowPunct/>
        <w:topLinePunct w:val="0"/>
        <w:autoSpaceDE/>
        <w:autoSpaceDN/>
        <w:bidi w:val="0"/>
        <w:adjustRightInd/>
        <w:snapToGrid/>
        <w:spacing w:line="560" w:lineRule="exact"/>
        <w:ind w:firstLine="566" w:firstLineChars="177"/>
        <w:jc w:val="both"/>
        <w:textAlignment w:val="auto"/>
        <w:rPr>
          <w:rFonts w:hint="eastAsia" w:ascii="FangSong_GB2312" w:hAnsi="FangSong_GB2312" w:eastAsia="FangSong_GB2312" w:cs="FangSong_GB2312"/>
          <w:color w:val="333333"/>
          <w:sz w:val="32"/>
          <w:szCs w:val="32"/>
          <w:lang w:val="en-US" w:eastAsia="zh-CN" w:bidi="ar-SA"/>
        </w:rPr>
      </w:pPr>
      <w:r>
        <w:rPr>
          <w:rFonts w:hint="eastAsia" w:ascii="FangSong_GB2312" w:hAnsi="FangSong_GB2312" w:eastAsia="FangSong_GB2312" w:cs="FangSong_GB2312"/>
          <w:color w:val="333333"/>
          <w:sz w:val="32"/>
          <w:szCs w:val="32"/>
          <w:lang w:val="en-US" w:eastAsia="zh-CN" w:bidi="ar-SA"/>
        </w:rPr>
        <w:t>4、负责统筹我市参与西部大开发、东北振兴、中部崛起和接轨上海、参与长三角合作交流的相关工作。</w:t>
      </w:r>
    </w:p>
    <w:p>
      <w:pPr>
        <w:keepNext w:val="0"/>
        <w:keepLines w:val="0"/>
        <w:pageBreakBefore w:val="0"/>
        <w:widowControl/>
        <w:kinsoku/>
        <w:wordWrap/>
        <w:overflowPunct/>
        <w:topLinePunct w:val="0"/>
        <w:autoSpaceDE/>
        <w:autoSpaceDN/>
        <w:bidi w:val="0"/>
        <w:adjustRightInd/>
        <w:snapToGrid/>
        <w:spacing w:line="560" w:lineRule="exact"/>
        <w:ind w:firstLine="566" w:firstLineChars="177"/>
        <w:jc w:val="both"/>
        <w:textAlignment w:val="auto"/>
        <w:rPr>
          <w:rFonts w:hint="eastAsia" w:ascii="FangSong_GB2312" w:hAnsi="FangSong_GB2312" w:eastAsia="FangSong_GB2312" w:cs="FangSong_GB2312"/>
          <w:color w:val="333333"/>
          <w:sz w:val="32"/>
          <w:szCs w:val="32"/>
          <w:lang w:val="en-US" w:eastAsia="zh-CN" w:bidi="ar-SA"/>
        </w:rPr>
      </w:pPr>
      <w:r>
        <w:rPr>
          <w:rFonts w:hint="eastAsia" w:ascii="FangSong_GB2312" w:hAnsi="FangSong_GB2312" w:eastAsia="FangSong_GB2312" w:cs="FangSong_GB2312"/>
          <w:color w:val="333333"/>
          <w:sz w:val="32"/>
          <w:szCs w:val="32"/>
          <w:lang w:val="en-US" w:eastAsia="zh-CN" w:bidi="ar-SA"/>
        </w:rPr>
        <w:t>5、负责牵头推进杭州都市圈建设发展相关工作。</w:t>
      </w:r>
    </w:p>
    <w:p>
      <w:pPr>
        <w:keepNext w:val="0"/>
        <w:keepLines w:val="0"/>
        <w:pageBreakBefore w:val="0"/>
        <w:widowControl/>
        <w:kinsoku/>
        <w:wordWrap/>
        <w:overflowPunct/>
        <w:topLinePunct w:val="0"/>
        <w:autoSpaceDE/>
        <w:autoSpaceDN/>
        <w:bidi w:val="0"/>
        <w:adjustRightInd/>
        <w:snapToGrid/>
        <w:spacing w:line="560" w:lineRule="exact"/>
        <w:ind w:firstLine="566" w:firstLineChars="177"/>
        <w:jc w:val="both"/>
        <w:textAlignment w:val="auto"/>
        <w:rPr>
          <w:rFonts w:hint="eastAsia" w:ascii="FangSong_GB2312" w:hAnsi="FangSong_GB2312" w:eastAsia="FangSong_GB2312" w:cs="FangSong_GB2312"/>
          <w:color w:val="333333"/>
          <w:sz w:val="32"/>
          <w:szCs w:val="32"/>
          <w:lang w:val="en-US" w:eastAsia="zh-CN" w:bidi="ar-SA"/>
        </w:rPr>
      </w:pPr>
      <w:r>
        <w:rPr>
          <w:rFonts w:hint="eastAsia" w:ascii="FangSong_GB2312" w:hAnsi="FangSong_GB2312" w:eastAsia="FangSong_GB2312" w:cs="FangSong_GB2312"/>
          <w:color w:val="333333"/>
          <w:sz w:val="32"/>
          <w:szCs w:val="32"/>
          <w:lang w:val="en-US" w:eastAsia="zh-CN" w:bidi="ar-SA"/>
        </w:rPr>
        <w:t>6、负责国内友好城市的有关工作，组织和参与区域合作交流活动。</w:t>
      </w:r>
    </w:p>
    <w:p>
      <w:pPr>
        <w:keepNext w:val="0"/>
        <w:keepLines w:val="0"/>
        <w:pageBreakBefore w:val="0"/>
        <w:widowControl/>
        <w:kinsoku/>
        <w:wordWrap/>
        <w:overflowPunct/>
        <w:topLinePunct w:val="0"/>
        <w:autoSpaceDE/>
        <w:autoSpaceDN/>
        <w:bidi w:val="0"/>
        <w:adjustRightInd/>
        <w:snapToGrid/>
        <w:spacing w:line="560" w:lineRule="exact"/>
        <w:ind w:firstLine="566" w:firstLineChars="177"/>
        <w:jc w:val="both"/>
        <w:textAlignment w:val="auto"/>
        <w:rPr>
          <w:rFonts w:ascii="KaiTi_GB2312" w:hAnsi="KaiTi_GB2312" w:eastAsia="KaiTi_GB2312" w:cs="KaiTi_GB2312"/>
          <w:sz w:val="32"/>
          <w:szCs w:val="32"/>
        </w:rPr>
      </w:pPr>
      <w:r>
        <w:rPr>
          <w:rFonts w:hint="eastAsia" w:ascii="FangSong_GB2312" w:hAnsi="FangSong_GB2312" w:eastAsia="FangSong_GB2312" w:cs="FangSong_GB2312"/>
          <w:color w:val="333333"/>
          <w:sz w:val="32"/>
          <w:szCs w:val="32"/>
          <w:lang w:val="en-US" w:eastAsia="zh-CN" w:bidi="ar-SA"/>
        </w:rPr>
        <w:t>7、完成市委、市政府交办的其他任务。</w:t>
      </w:r>
    </w:p>
    <w:p>
      <w:pPr>
        <w:pStyle w:val="24"/>
        <w:spacing w:before="0" w:after="0" w:line="560" w:lineRule="atLeast"/>
        <w:ind w:left="0" w:right="0" w:firstLine="640"/>
        <w:jc w:val="both"/>
        <w:rPr>
          <w:rFonts w:ascii="KaiTi_GB2312" w:hAnsi="KaiTi_GB2312" w:eastAsia="KaiTi_GB2312" w:cs="KaiTi_GB2312"/>
          <w:sz w:val="32"/>
          <w:szCs w:val="32"/>
        </w:rPr>
      </w:pPr>
      <w:r>
        <w:rPr>
          <w:rFonts w:ascii="KaiTi_GB2312" w:hAnsi="KaiTi_GB2312" w:eastAsia="KaiTi_GB2312" w:cs="KaiTi_GB2312"/>
          <w:sz w:val="32"/>
          <w:szCs w:val="32"/>
        </w:rPr>
        <w:t>（二）机构设置情况</w:t>
      </w:r>
    </w:p>
    <w:p>
      <w:pPr>
        <w:pStyle w:val="24"/>
        <w:spacing w:before="0" w:after="0" w:line="600" w:lineRule="atLeast"/>
        <w:ind w:left="0" w:right="0" w:firstLine="640"/>
        <w:jc w:val="both"/>
        <w:rPr>
          <w:rFonts w:ascii="FangSong_GB2312" w:hAnsi="FangSong_GB2312" w:eastAsia="FangSong_GB2312" w:cs="FangSong_GB2312"/>
          <w:sz w:val="32"/>
          <w:szCs w:val="32"/>
        </w:rPr>
      </w:pPr>
      <w:r>
        <w:rPr>
          <w:rFonts w:ascii="FangSong_GB2312" w:hAnsi="FangSong_GB2312" w:eastAsia="FangSong_GB2312" w:cs="FangSong_GB2312"/>
          <w:sz w:val="32"/>
          <w:szCs w:val="32"/>
        </w:rPr>
        <w:t>从预算单位构成看，杭州市对口支援和区域合作局部门预算包括：杭州市对口支援和区域合作局本级预算（行政单位）。</w:t>
      </w:r>
    </w:p>
    <w:p>
      <w:pPr>
        <w:pStyle w:val="23"/>
        <w:pBdr>
          <w:top w:val="none" w:color="auto" w:sz="0" w:space="0"/>
          <w:left w:val="none" w:color="auto" w:sz="0" w:space="0"/>
          <w:bottom w:val="none" w:color="auto" w:sz="0" w:space="0"/>
          <w:right w:val="none" w:color="auto" w:sz="0" w:space="0"/>
        </w:pBdr>
        <w:spacing w:before="0" w:after="0"/>
        <w:ind w:left="0" w:right="0"/>
        <w:jc w:val="left"/>
        <w:rPr>
          <w:rFonts w:ascii="黑体" w:hAnsi="黑体" w:eastAsia="黑体" w:cs="黑体"/>
          <w:sz w:val="32"/>
          <w:szCs w:val="32"/>
        </w:rPr>
      </w:pPr>
      <w:r>
        <w:t>二、</w:t>
      </w:r>
      <w:r>
        <w:rPr>
          <w:rStyle w:val="16"/>
        </w:rPr>
        <w:t>2024</w:t>
      </w:r>
      <w:r>
        <w:t xml:space="preserve">年杭州市对口支援和区域合作局部门预算安排情况说明 </w:t>
      </w:r>
    </w:p>
    <w:p>
      <w:pPr>
        <w:pStyle w:val="24"/>
        <w:spacing w:before="0" w:after="0" w:line="560" w:lineRule="atLeast"/>
        <w:ind w:left="0" w:right="0" w:firstLine="640"/>
        <w:jc w:val="both"/>
        <w:rPr>
          <w:rFonts w:ascii="KaiTi_GB2312" w:hAnsi="KaiTi_GB2312" w:eastAsia="KaiTi_GB2312" w:cs="KaiTi_GB2312"/>
          <w:sz w:val="32"/>
          <w:szCs w:val="32"/>
        </w:rPr>
      </w:pPr>
      <w:r>
        <w:rPr>
          <w:rFonts w:ascii="KaiTi_GB2312" w:hAnsi="KaiTi_GB2312" w:eastAsia="KaiTi_GB2312" w:cs="KaiTi_GB2312"/>
          <w:sz w:val="32"/>
          <w:szCs w:val="32"/>
        </w:rPr>
        <w:t>（一）收支预算情况的总体说明（详见表1-3）</w:t>
      </w:r>
    </w:p>
    <w:p>
      <w:pPr>
        <w:pStyle w:val="24"/>
        <w:pBdr>
          <w:top w:val="none" w:color="auto" w:sz="0" w:space="0"/>
          <w:left w:val="none" w:color="auto" w:sz="0" w:space="0"/>
          <w:bottom w:val="none" w:color="auto" w:sz="0" w:space="0"/>
          <w:right w:val="none" w:color="auto" w:sz="0" w:space="0"/>
        </w:pBdr>
        <w:spacing w:before="0" w:after="0" w:line="600" w:lineRule="atLeast"/>
        <w:ind w:left="0" w:right="0" w:firstLine="640"/>
        <w:jc w:val="both"/>
        <w:rPr>
          <w:rFonts w:ascii="FangSong_GB2312" w:hAnsi="FangSong_GB2312" w:eastAsia="FangSong_GB2312" w:cs="FangSong_GB2312"/>
          <w:sz w:val="32"/>
          <w:szCs w:val="32"/>
        </w:rPr>
      </w:pPr>
      <w:r>
        <w:rPr>
          <w:rFonts w:ascii="FangSong_GB2312" w:hAnsi="FangSong_GB2312" w:eastAsia="FangSong_GB2312" w:cs="FangSong_GB2312"/>
          <w:sz w:val="32"/>
          <w:szCs w:val="32"/>
        </w:rPr>
        <w:t>按照综合预算的原则，杭州市对口支援和区域合作局所有收入和支出均纳入部门预算管理。收入包括：一般公共预算收入、其他收入；支出包括：一般公共服务支出、社会保障和就业支出、卫生健康支出、援助其他地区支出、年终结转结余。杭州市对口支援和区域合作局</w:t>
      </w:r>
      <w:r>
        <w:rPr>
          <w:rStyle w:val="16"/>
          <w:sz w:val="32"/>
          <w:szCs w:val="32"/>
        </w:rPr>
        <w:t>2024</w:t>
      </w:r>
      <w:r>
        <w:rPr>
          <w:rFonts w:ascii="FangSong_GB2312" w:hAnsi="FangSong_GB2312" w:eastAsia="FangSong_GB2312" w:cs="FangSong_GB2312"/>
          <w:sz w:val="32"/>
          <w:szCs w:val="32"/>
        </w:rPr>
        <w:t>年收支总预算</w:t>
      </w:r>
      <w:r>
        <w:rPr>
          <w:rStyle w:val="16"/>
          <w:sz w:val="32"/>
          <w:szCs w:val="32"/>
        </w:rPr>
        <w:t>5,489.14</w:t>
      </w:r>
      <w:r>
        <w:rPr>
          <w:rFonts w:ascii="FangSong_GB2312" w:hAnsi="FangSong_GB2312" w:eastAsia="FangSong_GB2312" w:cs="FangSong_GB2312"/>
          <w:sz w:val="32"/>
          <w:szCs w:val="32"/>
        </w:rPr>
        <w:t xml:space="preserve">万元。 </w:t>
      </w:r>
    </w:p>
    <w:p>
      <w:pPr>
        <w:pStyle w:val="25"/>
        <w:pBdr>
          <w:top w:val="none" w:color="auto" w:sz="0" w:space="0"/>
          <w:left w:val="none" w:color="auto" w:sz="0" w:space="0"/>
          <w:bottom w:val="none" w:color="auto" w:sz="0" w:space="0"/>
          <w:right w:val="none" w:color="auto" w:sz="0" w:space="0"/>
        </w:pBdr>
        <w:spacing w:before="0" w:after="0"/>
        <w:ind w:left="0" w:right="0" w:firstLine="0"/>
        <w:jc w:val="left"/>
        <w:rPr>
          <w:rFonts w:ascii="KaiTi_GB2312" w:hAnsi="KaiTi_GB2312" w:eastAsia="KaiTi_GB2312" w:cs="KaiTi_GB2312"/>
          <w:sz w:val="32"/>
          <w:szCs w:val="32"/>
        </w:rPr>
      </w:pPr>
      <w:r>
        <w:t>（二）收入预算情况说明（详见表1-3）</w:t>
      </w:r>
    </w:p>
    <w:p>
      <w:pPr>
        <w:pStyle w:val="24"/>
        <w:spacing w:before="0" w:after="0" w:line="600" w:lineRule="atLeast"/>
        <w:ind w:left="0" w:right="0" w:firstLine="640"/>
        <w:jc w:val="both"/>
        <w:rPr>
          <w:rFonts w:ascii="FangSong_GB2312" w:hAnsi="FangSong_GB2312" w:eastAsia="FangSong_GB2312" w:cs="FangSong_GB2312"/>
          <w:sz w:val="32"/>
          <w:szCs w:val="32"/>
          <w:highlight w:val="none"/>
        </w:rPr>
      </w:pPr>
      <w:r>
        <w:rPr>
          <w:rStyle w:val="16"/>
          <w:sz w:val="32"/>
          <w:szCs w:val="32"/>
        </w:rPr>
        <w:t>2024</w:t>
      </w:r>
      <w:r>
        <w:rPr>
          <w:rFonts w:ascii="FangSong_GB2312" w:hAnsi="FangSong_GB2312" w:eastAsia="FangSong_GB2312" w:cs="FangSong_GB2312"/>
          <w:sz w:val="32"/>
          <w:szCs w:val="32"/>
        </w:rPr>
        <w:t>年收入预算</w:t>
      </w:r>
      <w:r>
        <w:rPr>
          <w:rStyle w:val="16"/>
          <w:sz w:val="32"/>
          <w:szCs w:val="32"/>
        </w:rPr>
        <w:t>5,489.14</w:t>
      </w:r>
      <w:r>
        <w:rPr>
          <w:rFonts w:ascii="FangSong_GB2312" w:hAnsi="FangSong_GB2312" w:eastAsia="FangSong_GB2312" w:cs="FangSong_GB2312"/>
          <w:sz w:val="32"/>
          <w:szCs w:val="32"/>
        </w:rPr>
        <w:t>万元</w:t>
      </w:r>
      <w:r>
        <w:rPr>
          <w:rFonts w:ascii="FangSong_GB2312" w:hAnsi="FangSong_GB2312" w:eastAsia="FangSong_GB2312" w:cs="FangSong_GB2312"/>
          <w:sz w:val="32"/>
          <w:szCs w:val="32"/>
          <w:highlight w:val="none"/>
        </w:rPr>
        <w:t>，比上年执行数增加</w:t>
      </w:r>
      <w:r>
        <w:rPr>
          <w:rStyle w:val="16"/>
          <w:rFonts w:hint="eastAsia" w:eastAsia="FangSong_GB2312"/>
          <w:sz w:val="32"/>
          <w:szCs w:val="32"/>
          <w:highlight w:val="none"/>
          <w:lang w:val="en-US" w:eastAsia="zh-CN"/>
        </w:rPr>
        <w:t>256.79</w:t>
      </w:r>
      <w:r>
        <w:rPr>
          <w:rFonts w:ascii="FangSong_GB2312" w:hAnsi="FangSong_GB2312" w:eastAsia="FangSong_GB2312" w:cs="FangSong_GB2312"/>
          <w:sz w:val="32"/>
          <w:szCs w:val="32"/>
          <w:highlight w:val="none"/>
        </w:rPr>
        <w:t>万元，增长</w:t>
      </w:r>
      <w:r>
        <w:rPr>
          <w:rStyle w:val="16"/>
          <w:rFonts w:hint="eastAsia" w:eastAsia="FangSong_GB2312"/>
          <w:sz w:val="32"/>
          <w:szCs w:val="32"/>
          <w:highlight w:val="none"/>
          <w:lang w:val="en-US" w:eastAsia="zh-CN"/>
        </w:rPr>
        <w:t>4.9</w:t>
      </w:r>
      <w:r>
        <w:rPr>
          <w:rFonts w:ascii="FangSong_GB2312" w:hAnsi="FangSong_GB2312" w:eastAsia="FangSong_GB2312" w:cs="FangSong_GB2312"/>
          <w:sz w:val="32"/>
          <w:szCs w:val="32"/>
          <w:highlight w:val="none"/>
        </w:rPr>
        <w:t>%，主要原因是</w:t>
      </w:r>
      <w:r>
        <w:rPr>
          <w:rFonts w:hint="eastAsia" w:ascii="FangSong_GB2312" w:hAnsi="FangSong_GB2312" w:eastAsia="FangSong_GB2312" w:cs="FangSong_GB2312"/>
          <w:sz w:val="32"/>
          <w:szCs w:val="32"/>
          <w:highlight w:val="none"/>
        </w:rPr>
        <w:t>支持山海协作对口地区帮扶资金</w:t>
      </w:r>
      <w:r>
        <w:rPr>
          <w:rFonts w:hint="eastAsia" w:ascii="FangSong_GB2312" w:hAnsi="FangSong_GB2312" w:eastAsia="FangSong_GB2312" w:cs="FangSong_GB2312"/>
          <w:sz w:val="32"/>
          <w:szCs w:val="32"/>
          <w:highlight w:val="none"/>
          <w:lang w:val="en-US" w:eastAsia="zh-CN"/>
        </w:rPr>
        <w:t>项目资金增加</w:t>
      </w:r>
      <w:r>
        <w:rPr>
          <w:rFonts w:ascii="FangSong_GB2312" w:hAnsi="FangSong_GB2312" w:eastAsia="FangSong_GB2312" w:cs="FangSong_GB2312"/>
          <w:sz w:val="32"/>
          <w:szCs w:val="32"/>
          <w:highlight w:val="none"/>
        </w:rPr>
        <w:t>。</w:t>
      </w:r>
    </w:p>
    <w:p>
      <w:pPr>
        <w:pStyle w:val="24"/>
        <w:spacing w:before="0" w:after="0" w:line="600" w:lineRule="atLeast"/>
        <w:ind w:left="0" w:right="0" w:firstLine="640"/>
        <w:jc w:val="both"/>
        <w:rPr>
          <w:rFonts w:ascii="FangSong_GB2312" w:hAnsi="FangSong_GB2312" w:eastAsia="FangSong_GB2312" w:cs="FangSong_GB2312"/>
          <w:sz w:val="32"/>
          <w:szCs w:val="32"/>
        </w:rPr>
      </w:pPr>
      <w:r>
        <w:rPr>
          <w:rFonts w:ascii="FangSong_GB2312" w:hAnsi="FangSong_GB2312" w:eastAsia="FangSong_GB2312" w:cs="FangSong_GB2312"/>
          <w:sz w:val="32"/>
          <w:szCs w:val="32"/>
        </w:rPr>
        <w:t>其中：一般公共预算拨款收入</w:t>
      </w:r>
      <w:r>
        <w:rPr>
          <w:rStyle w:val="16"/>
          <w:sz w:val="32"/>
          <w:szCs w:val="32"/>
        </w:rPr>
        <w:t>5,429.14</w:t>
      </w:r>
      <w:r>
        <w:rPr>
          <w:rFonts w:ascii="FangSong_GB2312" w:hAnsi="FangSong_GB2312" w:eastAsia="FangSong_GB2312" w:cs="FangSong_GB2312"/>
          <w:sz w:val="32"/>
          <w:szCs w:val="32"/>
        </w:rPr>
        <w:t>万元，占</w:t>
      </w:r>
      <w:r>
        <w:rPr>
          <w:rStyle w:val="16"/>
          <w:sz w:val="32"/>
          <w:szCs w:val="32"/>
        </w:rPr>
        <w:t>98.91</w:t>
      </w:r>
      <w:r>
        <w:rPr>
          <w:rFonts w:ascii="FangSong_GB2312" w:hAnsi="FangSong_GB2312" w:eastAsia="FangSong_GB2312" w:cs="FangSong_GB2312"/>
          <w:sz w:val="32"/>
          <w:szCs w:val="32"/>
        </w:rPr>
        <w:t>%；其他收入</w:t>
      </w:r>
      <w:r>
        <w:rPr>
          <w:rStyle w:val="16"/>
          <w:sz w:val="32"/>
          <w:szCs w:val="32"/>
        </w:rPr>
        <w:t>60.00</w:t>
      </w:r>
      <w:r>
        <w:rPr>
          <w:rFonts w:ascii="FangSong_GB2312" w:hAnsi="FangSong_GB2312" w:eastAsia="FangSong_GB2312" w:cs="FangSong_GB2312"/>
          <w:sz w:val="32"/>
          <w:szCs w:val="32"/>
        </w:rPr>
        <w:t>万元，占</w:t>
      </w:r>
      <w:r>
        <w:rPr>
          <w:rStyle w:val="16"/>
          <w:sz w:val="32"/>
          <w:szCs w:val="32"/>
        </w:rPr>
        <w:t>1.09</w:t>
      </w:r>
      <w:r>
        <w:rPr>
          <w:rFonts w:ascii="FangSong_GB2312" w:hAnsi="FangSong_GB2312" w:eastAsia="FangSong_GB2312" w:cs="FangSong_GB2312"/>
          <w:sz w:val="32"/>
          <w:szCs w:val="32"/>
        </w:rPr>
        <w:t>%。</w:t>
      </w:r>
    </w:p>
    <w:p>
      <w:pPr>
        <w:pStyle w:val="25"/>
        <w:pBdr>
          <w:top w:val="none" w:color="auto" w:sz="0" w:space="0"/>
          <w:left w:val="none" w:color="auto" w:sz="0" w:space="0"/>
          <w:bottom w:val="none" w:color="auto" w:sz="0" w:space="0"/>
          <w:right w:val="none" w:color="auto" w:sz="0" w:space="0"/>
        </w:pBdr>
        <w:spacing w:before="0" w:after="0"/>
        <w:ind w:left="0" w:right="0" w:firstLine="0"/>
        <w:jc w:val="left"/>
        <w:rPr>
          <w:rFonts w:ascii="KaiTi_GB2312" w:hAnsi="KaiTi_GB2312" w:eastAsia="KaiTi_GB2312" w:cs="KaiTi_GB2312"/>
          <w:sz w:val="32"/>
          <w:szCs w:val="32"/>
        </w:rPr>
      </w:pPr>
      <w:r>
        <w:t>（三）支出预算情况说明（详见表1-3）</w:t>
      </w:r>
    </w:p>
    <w:p>
      <w:pPr>
        <w:pStyle w:val="24"/>
        <w:spacing w:before="0" w:after="0" w:line="600" w:lineRule="atLeast"/>
        <w:ind w:left="0" w:right="0" w:firstLine="640"/>
        <w:jc w:val="both"/>
        <w:rPr>
          <w:rFonts w:ascii="FangSong_GB2312" w:hAnsi="FangSong_GB2312" w:eastAsia="FangSong_GB2312" w:cs="FangSong_GB2312"/>
          <w:sz w:val="32"/>
          <w:szCs w:val="32"/>
          <w:highlight w:val="none"/>
        </w:rPr>
      </w:pPr>
      <w:r>
        <w:rPr>
          <w:rStyle w:val="16"/>
          <w:sz w:val="32"/>
          <w:szCs w:val="32"/>
        </w:rPr>
        <w:t>2024</w:t>
      </w:r>
      <w:r>
        <w:rPr>
          <w:rFonts w:ascii="FangSong_GB2312" w:hAnsi="FangSong_GB2312" w:eastAsia="FangSong_GB2312" w:cs="FangSong_GB2312"/>
          <w:sz w:val="32"/>
          <w:szCs w:val="32"/>
        </w:rPr>
        <w:t>年支出预算</w:t>
      </w:r>
      <w:r>
        <w:rPr>
          <w:rStyle w:val="16"/>
          <w:sz w:val="32"/>
          <w:szCs w:val="32"/>
        </w:rPr>
        <w:t>5,489.14</w:t>
      </w:r>
      <w:r>
        <w:rPr>
          <w:rFonts w:ascii="FangSong_GB2312" w:hAnsi="FangSong_GB2312" w:eastAsia="FangSong_GB2312" w:cs="FangSong_GB2312"/>
          <w:sz w:val="32"/>
          <w:szCs w:val="32"/>
        </w:rPr>
        <w:t>万元，</w:t>
      </w:r>
      <w:r>
        <w:rPr>
          <w:rFonts w:ascii="FangSong_GB2312" w:hAnsi="FangSong_GB2312" w:eastAsia="FangSong_GB2312" w:cs="FangSong_GB2312"/>
          <w:sz w:val="32"/>
          <w:szCs w:val="32"/>
          <w:highlight w:val="none"/>
        </w:rPr>
        <w:t>比上年执行数增加</w:t>
      </w:r>
      <w:r>
        <w:rPr>
          <w:rStyle w:val="16"/>
          <w:rFonts w:hint="eastAsia" w:eastAsia="FangSong_GB2312"/>
          <w:sz w:val="32"/>
          <w:szCs w:val="32"/>
          <w:highlight w:val="none"/>
          <w:lang w:val="en-US" w:eastAsia="zh-CN"/>
        </w:rPr>
        <w:t>256.79</w:t>
      </w:r>
      <w:r>
        <w:rPr>
          <w:rFonts w:ascii="FangSong_GB2312" w:hAnsi="FangSong_GB2312" w:eastAsia="FangSong_GB2312" w:cs="FangSong_GB2312"/>
          <w:sz w:val="32"/>
          <w:szCs w:val="32"/>
          <w:highlight w:val="none"/>
        </w:rPr>
        <w:t>万元，增长</w:t>
      </w:r>
      <w:r>
        <w:rPr>
          <w:rStyle w:val="16"/>
          <w:rFonts w:hint="eastAsia" w:eastAsia="FangSong_GB2312"/>
          <w:sz w:val="32"/>
          <w:szCs w:val="32"/>
          <w:highlight w:val="none"/>
          <w:lang w:val="en-US" w:eastAsia="zh-CN"/>
        </w:rPr>
        <w:t>4.9</w:t>
      </w:r>
      <w:r>
        <w:rPr>
          <w:rFonts w:ascii="FangSong_GB2312" w:hAnsi="FangSong_GB2312" w:eastAsia="FangSong_GB2312" w:cs="FangSong_GB2312"/>
          <w:sz w:val="32"/>
          <w:szCs w:val="32"/>
          <w:highlight w:val="none"/>
        </w:rPr>
        <w:t>%，主要原因是</w:t>
      </w:r>
      <w:r>
        <w:rPr>
          <w:rFonts w:hint="eastAsia" w:ascii="FangSong_GB2312" w:hAnsi="FangSong_GB2312" w:eastAsia="FangSong_GB2312" w:cs="FangSong_GB2312"/>
          <w:sz w:val="32"/>
          <w:szCs w:val="32"/>
          <w:highlight w:val="none"/>
        </w:rPr>
        <w:t>支持山海协作对口地区帮扶资金</w:t>
      </w:r>
      <w:r>
        <w:rPr>
          <w:rFonts w:hint="eastAsia" w:ascii="FangSong_GB2312" w:hAnsi="FangSong_GB2312" w:eastAsia="FangSong_GB2312" w:cs="FangSong_GB2312"/>
          <w:sz w:val="32"/>
          <w:szCs w:val="32"/>
          <w:highlight w:val="none"/>
          <w:lang w:val="en-US" w:eastAsia="zh-CN"/>
        </w:rPr>
        <w:t>项目资金增加</w:t>
      </w:r>
      <w:r>
        <w:rPr>
          <w:rFonts w:ascii="FangSong_GB2312" w:hAnsi="FangSong_GB2312" w:eastAsia="FangSong_GB2312" w:cs="FangSong_GB2312"/>
          <w:sz w:val="32"/>
          <w:szCs w:val="32"/>
          <w:highlight w:val="none"/>
        </w:rPr>
        <w:t>。</w:t>
      </w:r>
    </w:p>
    <w:p>
      <w:pPr>
        <w:pStyle w:val="24"/>
        <w:spacing w:before="0" w:after="0" w:line="600" w:lineRule="atLeast"/>
        <w:ind w:left="0" w:right="0" w:firstLine="640"/>
        <w:jc w:val="both"/>
        <w:rPr>
          <w:rFonts w:ascii="FangSong_GB2312" w:hAnsi="FangSong_GB2312" w:eastAsia="FangSong_GB2312" w:cs="FangSong_GB2312"/>
          <w:sz w:val="32"/>
          <w:szCs w:val="32"/>
        </w:rPr>
      </w:pPr>
      <w:r>
        <w:rPr>
          <w:rStyle w:val="26"/>
        </w:rPr>
        <w:t>1.按支出功能分类，</w:t>
      </w:r>
      <w:r>
        <w:rPr>
          <w:rFonts w:ascii="FangSong_GB2312" w:hAnsi="FangSong_GB2312" w:eastAsia="FangSong_GB2312" w:cs="FangSong_GB2312"/>
          <w:sz w:val="32"/>
          <w:szCs w:val="32"/>
        </w:rPr>
        <w:t>包括一般公共服务支出</w:t>
      </w:r>
      <w:r>
        <w:rPr>
          <w:rStyle w:val="16"/>
          <w:sz w:val="32"/>
          <w:szCs w:val="32"/>
        </w:rPr>
        <w:t>1,137.11</w:t>
      </w:r>
      <w:r>
        <w:rPr>
          <w:rFonts w:ascii="FangSong_GB2312" w:hAnsi="FangSong_GB2312" w:eastAsia="FangSong_GB2312" w:cs="FangSong_GB2312"/>
          <w:sz w:val="32"/>
          <w:szCs w:val="32"/>
        </w:rPr>
        <w:t>万元，社会保障和就业支出</w:t>
      </w:r>
      <w:r>
        <w:rPr>
          <w:rStyle w:val="16"/>
          <w:sz w:val="32"/>
          <w:szCs w:val="32"/>
        </w:rPr>
        <w:t>88.65</w:t>
      </w:r>
      <w:r>
        <w:rPr>
          <w:rFonts w:ascii="FangSong_GB2312" w:hAnsi="FangSong_GB2312" w:eastAsia="FangSong_GB2312" w:cs="FangSong_GB2312"/>
          <w:sz w:val="32"/>
          <w:szCs w:val="32"/>
        </w:rPr>
        <w:t>万元，卫生健康支出</w:t>
      </w:r>
      <w:r>
        <w:rPr>
          <w:rStyle w:val="16"/>
          <w:sz w:val="32"/>
          <w:szCs w:val="32"/>
        </w:rPr>
        <w:t>32.38</w:t>
      </w:r>
      <w:r>
        <w:rPr>
          <w:rFonts w:ascii="FangSong_GB2312" w:hAnsi="FangSong_GB2312" w:eastAsia="FangSong_GB2312" w:cs="FangSong_GB2312"/>
          <w:sz w:val="32"/>
          <w:szCs w:val="32"/>
        </w:rPr>
        <w:t>万元，援助其他地区支出</w:t>
      </w:r>
      <w:r>
        <w:rPr>
          <w:rStyle w:val="16"/>
          <w:sz w:val="32"/>
          <w:szCs w:val="32"/>
        </w:rPr>
        <w:t>4,231</w:t>
      </w:r>
      <w:r>
        <w:rPr>
          <w:rFonts w:ascii="FangSong_GB2312" w:hAnsi="FangSong_GB2312" w:eastAsia="FangSong_GB2312" w:cs="FangSong_GB2312"/>
          <w:sz w:val="32"/>
          <w:szCs w:val="32"/>
        </w:rPr>
        <w:t>万元。</w:t>
      </w:r>
    </w:p>
    <w:p>
      <w:pPr>
        <w:pStyle w:val="24"/>
        <w:spacing w:before="0" w:after="0" w:line="600" w:lineRule="atLeast"/>
        <w:ind w:left="0" w:right="0" w:firstLine="640"/>
        <w:jc w:val="both"/>
        <w:rPr>
          <w:rFonts w:ascii="FangSong_GB2312" w:hAnsi="FangSong_GB2312" w:eastAsia="FangSong_GB2312" w:cs="FangSong_GB2312"/>
          <w:sz w:val="32"/>
          <w:szCs w:val="32"/>
        </w:rPr>
      </w:pPr>
      <w:r>
        <w:rPr>
          <w:rStyle w:val="26"/>
        </w:rPr>
        <w:t>2.按支出用途分类，</w:t>
      </w:r>
      <w:r>
        <w:rPr>
          <w:rFonts w:ascii="FangSong_GB2312" w:hAnsi="FangSong_GB2312" w:eastAsia="FangSong_GB2312" w:cs="FangSong_GB2312"/>
          <w:sz w:val="32"/>
          <w:szCs w:val="32"/>
        </w:rPr>
        <w:t xml:space="preserve">包括人员支出 </w:t>
      </w:r>
      <w:r>
        <w:rPr>
          <w:rStyle w:val="16"/>
          <w:sz w:val="32"/>
          <w:szCs w:val="32"/>
        </w:rPr>
        <w:t>688.68</w:t>
      </w:r>
      <w:r>
        <w:rPr>
          <w:rFonts w:ascii="FangSong_GB2312" w:hAnsi="FangSong_GB2312" w:eastAsia="FangSong_GB2312" w:cs="FangSong_GB2312"/>
          <w:sz w:val="32"/>
          <w:szCs w:val="32"/>
        </w:rPr>
        <w:t>万元，占</w:t>
      </w:r>
      <w:r>
        <w:rPr>
          <w:rStyle w:val="16"/>
          <w:sz w:val="32"/>
          <w:szCs w:val="32"/>
        </w:rPr>
        <w:t>12.55</w:t>
      </w:r>
      <w:r>
        <w:rPr>
          <w:rFonts w:ascii="FangSong_GB2312" w:hAnsi="FangSong_GB2312" w:eastAsia="FangSong_GB2312" w:cs="FangSong_GB2312"/>
          <w:sz w:val="32"/>
          <w:szCs w:val="32"/>
        </w:rPr>
        <w:t xml:space="preserve">%；日常公用支出 </w:t>
      </w:r>
      <w:r>
        <w:rPr>
          <w:rStyle w:val="16"/>
          <w:sz w:val="32"/>
          <w:szCs w:val="32"/>
        </w:rPr>
        <w:t>135.46</w:t>
      </w:r>
      <w:r>
        <w:rPr>
          <w:rFonts w:ascii="FangSong_GB2312" w:hAnsi="FangSong_GB2312" w:eastAsia="FangSong_GB2312" w:cs="FangSong_GB2312"/>
          <w:sz w:val="32"/>
          <w:szCs w:val="32"/>
        </w:rPr>
        <w:t>万元，占</w:t>
      </w:r>
      <w:r>
        <w:rPr>
          <w:rStyle w:val="16"/>
          <w:sz w:val="32"/>
          <w:szCs w:val="32"/>
        </w:rPr>
        <w:t>2.47</w:t>
      </w:r>
      <w:r>
        <w:rPr>
          <w:rFonts w:ascii="FangSong_GB2312" w:hAnsi="FangSong_GB2312" w:eastAsia="FangSong_GB2312" w:cs="FangSong_GB2312"/>
          <w:sz w:val="32"/>
          <w:szCs w:val="32"/>
        </w:rPr>
        <w:t xml:space="preserve">%； 项目支出 </w:t>
      </w:r>
      <w:r>
        <w:rPr>
          <w:rStyle w:val="16"/>
          <w:sz w:val="32"/>
          <w:szCs w:val="32"/>
        </w:rPr>
        <w:t>4,665.00</w:t>
      </w:r>
      <w:r>
        <w:rPr>
          <w:rFonts w:ascii="FangSong_GB2312" w:hAnsi="FangSong_GB2312" w:eastAsia="FangSong_GB2312" w:cs="FangSong_GB2312"/>
          <w:sz w:val="32"/>
          <w:szCs w:val="32"/>
        </w:rPr>
        <w:t>万元，占</w:t>
      </w:r>
      <w:r>
        <w:rPr>
          <w:rStyle w:val="16"/>
          <w:sz w:val="32"/>
          <w:szCs w:val="32"/>
        </w:rPr>
        <w:t>84.9</w:t>
      </w:r>
      <w:r>
        <w:rPr>
          <w:rFonts w:ascii="FangSong_GB2312" w:hAnsi="FangSong_GB2312" w:eastAsia="FangSong_GB2312" w:cs="FangSong_GB2312"/>
          <w:sz w:val="32"/>
          <w:szCs w:val="32"/>
        </w:rPr>
        <w:t>%。</w:t>
      </w:r>
    </w:p>
    <w:p>
      <w:pPr>
        <w:pStyle w:val="24"/>
        <w:spacing w:before="0" w:after="0" w:line="600" w:lineRule="atLeast"/>
        <w:ind w:left="0" w:right="0" w:firstLine="640"/>
        <w:jc w:val="both"/>
        <w:rPr>
          <w:rFonts w:ascii="FangSong_GB2312" w:hAnsi="FangSong_GB2312" w:eastAsia="FangSong_GB2312" w:cs="FangSong_GB2312"/>
          <w:sz w:val="32"/>
          <w:szCs w:val="32"/>
        </w:rPr>
      </w:pPr>
      <w:r>
        <w:rPr>
          <w:rFonts w:ascii="FangSong_GB2312" w:hAnsi="FangSong_GB2312" w:eastAsia="FangSong_GB2312" w:cs="FangSong_GB2312"/>
          <w:sz w:val="32"/>
          <w:szCs w:val="32"/>
        </w:rPr>
        <w:t>年终结转结余</w:t>
      </w:r>
      <w:r>
        <w:rPr>
          <w:rStyle w:val="16"/>
          <w:sz w:val="32"/>
          <w:szCs w:val="32"/>
        </w:rPr>
        <w:t>0</w:t>
      </w:r>
      <w:r>
        <w:rPr>
          <w:rFonts w:ascii="FangSong_GB2312" w:hAnsi="FangSong_GB2312" w:eastAsia="FangSong_GB2312" w:cs="FangSong_GB2312"/>
          <w:sz w:val="32"/>
          <w:szCs w:val="32"/>
        </w:rPr>
        <w:t>万元。</w:t>
      </w:r>
    </w:p>
    <w:p>
      <w:pPr>
        <w:pStyle w:val="25"/>
        <w:pBdr>
          <w:top w:val="none" w:color="auto" w:sz="0" w:space="0"/>
          <w:left w:val="none" w:color="auto" w:sz="0" w:space="0"/>
          <w:bottom w:val="none" w:color="auto" w:sz="0" w:space="0"/>
          <w:right w:val="none" w:color="auto" w:sz="0" w:space="0"/>
        </w:pBdr>
        <w:spacing w:before="0" w:after="0"/>
        <w:ind w:left="0" w:right="0" w:firstLine="0"/>
        <w:jc w:val="left"/>
        <w:rPr>
          <w:rFonts w:ascii="KaiTi_GB2312" w:hAnsi="KaiTi_GB2312" w:eastAsia="KaiTi_GB2312" w:cs="KaiTi_GB2312"/>
          <w:sz w:val="32"/>
          <w:szCs w:val="32"/>
        </w:rPr>
      </w:pPr>
      <w:r>
        <w:t>（四）财政拨款收支预算情况的总体说明（详见表4）</w:t>
      </w:r>
    </w:p>
    <w:p>
      <w:pPr>
        <w:pStyle w:val="24"/>
        <w:spacing w:before="0" w:after="0" w:line="600" w:lineRule="atLeast"/>
        <w:ind w:left="0" w:right="0" w:firstLine="640"/>
        <w:jc w:val="both"/>
        <w:rPr>
          <w:rFonts w:ascii="FangSong_GB2312" w:hAnsi="FangSong_GB2312" w:eastAsia="FangSong_GB2312" w:cs="FangSong_GB2312"/>
          <w:sz w:val="32"/>
          <w:szCs w:val="32"/>
        </w:rPr>
      </w:pPr>
      <w:r>
        <w:rPr>
          <w:rStyle w:val="16"/>
          <w:sz w:val="32"/>
          <w:szCs w:val="32"/>
        </w:rPr>
        <w:t>2024</w:t>
      </w:r>
      <w:r>
        <w:rPr>
          <w:rFonts w:ascii="FangSong_GB2312" w:hAnsi="FangSong_GB2312" w:eastAsia="FangSong_GB2312" w:cs="FangSong_GB2312"/>
          <w:sz w:val="32"/>
          <w:szCs w:val="32"/>
        </w:rPr>
        <w:t>年财政拨款收支总预算</w:t>
      </w:r>
      <w:r>
        <w:rPr>
          <w:rStyle w:val="16"/>
          <w:sz w:val="32"/>
          <w:szCs w:val="32"/>
        </w:rPr>
        <w:t>5,429.14</w:t>
      </w:r>
      <w:r>
        <w:rPr>
          <w:rFonts w:ascii="FangSong_GB2312" w:hAnsi="FangSong_GB2312" w:eastAsia="FangSong_GB2312" w:cs="FangSong_GB2312"/>
          <w:sz w:val="32"/>
          <w:szCs w:val="32"/>
        </w:rPr>
        <w:t>万元。</w:t>
      </w:r>
      <w:r>
        <w:rPr>
          <w:rStyle w:val="26"/>
        </w:rPr>
        <w:t>收入包括：</w:t>
      </w:r>
      <w:r>
        <w:rPr>
          <w:rFonts w:ascii="FangSong_GB2312" w:hAnsi="FangSong_GB2312" w:eastAsia="FangSong_GB2312" w:cs="FangSong_GB2312"/>
          <w:sz w:val="32"/>
          <w:szCs w:val="32"/>
        </w:rPr>
        <w:t>一般公共预算</w:t>
      </w:r>
      <w:r>
        <w:rPr>
          <w:rStyle w:val="16"/>
          <w:sz w:val="32"/>
          <w:szCs w:val="32"/>
        </w:rPr>
        <w:t>5,429.14</w:t>
      </w:r>
      <w:r>
        <w:rPr>
          <w:rFonts w:ascii="FangSong_GB2312" w:hAnsi="FangSong_GB2312" w:eastAsia="FangSong_GB2312" w:cs="FangSong_GB2312"/>
          <w:sz w:val="32"/>
          <w:szCs w:val="32"/>
        </w:rPr>
        <w:t>万元。</w:t>
      </w:r>
      <w:r>
        <w:rPr>
          <w:rStyle w:val="26"/>
        </w:rPr>
        <w:t>支出包括：</w:t>
      </w:r>
      <w:r>
        <w:rPr>
          <w:rFonts w:ascii="FangSong_GB2312" w:hAnsi="FangSong_GB2312" w:eastAsia="FangSong_GB2312" w:cs="FangSong_GB2312"/>
          <w:sz w:val="32"/>
          <w:szCs w:val="32"/>
        </w:rPr>
        <w:t>一般公共服务支出</w:t>
      </w:r>
      <w:r>
        <w:rPr>
          <w:rStyle w:val="16"/>
          <w:sz w:val="32"/>
          <w:szCs w:val="32"/>
        </w:rPr>
        <w:t>1,077.11</w:t>
      </w:r>
      <w:r>
        <w:rPr>
          <w:rFonts w:ascii="FangSong_GB2312" w:hAnsi="FangSong_GB2312" w:eastAsia="FangSong_GB2312" w:cs="FangSong_GB2312"/>
          <w:sz w:val="32"/>
          <w:szCs w:val="32"/>
        </w:rPr>
        <w:t>万元、社会保障和就业支出</w:t>
      </w:r>
      <w:r>
        <w:rPr>
          <w:rStyle w:val="16"/>
          <w:sz w:val="32"/>
          <w:szCs w:val="32"/>
        </w:rPr>
        <w:t>88.65</w:t>
      </w:r>
      <w:r>
        <w:rPr>
          <w:rFonts w:ascii="FangSong_GB2312" w:hAnsi="FangSong_GB2312" w:eastAsia="FangSong_GB2312" w:cs="FangSong_GB2312"/>
          <w:sz w:val="32"/>
          <w:szCs w:val="32"/>
        </w:rPr>
        <w:t>万元、卫生健康支出</w:t>
      </w:r>
      <w:r>
        <w:rPr>
          <w:rStyle w:val="16"/>
          <w:sz w:val="32"/>
          <w:szCs w:val="32"/>
        </w:rPr>
        <w:t>32.38</w:t>
      </w:r>
      <w:r>
        <w:rPr>
          <w:rFonts w:ascii="FangSong_GB2312" w:hAnsi="FangSong_GB2312" w:eastAsia="FangSong_GB2312" w:cs="FangSong_GB2312"/>
          <w:sz w:val="32"/>
          <w:szCs w:val="32"/>
        </w:rPr>
        <w:t>万元、援助其他地区支出</w:t>
      </w:r>
      <w:r>
        <w:rPr>
          <w:rStyle w:val="16"/>
          <w:sz w:val="32"/>
          <w:szCs w:val="32"/>
        </w:rPr>
        <w:t>4,231.00</w:t>
      </w:r>
      <w:r>
        <w:rPr>
          <w:rFonts w:ascii="FangSong_GB2312" w:hAnsi="FangSong_GB2312" w:eastAsia="FangSong_GB2312" w:cs="FangSong_GB2312"/>
          <w:sz w:val="32"/>
          <w:szCs w:val="32"/>
        </w:rPr>
        <w:t>万元。</w:t>
      </w:r>
    </w:p>
    <w:p>
      <w:pPr>
        <w:pStyle w:val="25"/>
        <w:pBdr>
          <w:top w:val="none" w:color="auto" w:sz="0" w:space="0"/>
          <w:left w:val="none" w:color="auto" w:sz="0" w:space="0"/>
          <w:bottom w:val="none" w:color="auto" w:sz="0" w:space="0"/>
          <w:right w:val="none" w:color="auto" w:sz="0" w:space="0"/>
        </w:pBdr>
        <w:spacing w:before="0" w:after="0"/>
        <w:ind w:left="0" w:right="0" w:firstLine="0"/>
        <w:jc w:val="left"/>
        <w:rPr>
          <w:rFonts w:ascii="KaiTi_GB2312" w:hAnsi="KaiTi_GB2312" w:eastAsia="KaiTi_GB2312" w:cs="KaiTi_GB2312"/>
          <w:sz w:val="32"/>
          <w:szCs w:val="32"/>
        </w:rPr>
      </w:pPr>
      <w:r>
        <w:t>（五）一般公共预算当年拨款情况说明（详见表5）</w:t>
      </w:r>
    </w:p>
    <w:p>
      <w:pPr>
        <w:pStyle w:val="24"/>
        <w:spacing w:before="0" w:after="0" w:line="600" w:lineRule="atLeast"/>
        <w:ind w:left="0" w:right="0" w:firstLine="640"/>
        <w:jc w:val="both"/>
        <w:rPr>
          <w:rFonts w:ascii="FangSong_GB2312" w:hAnsi="FangSong_GB2312" w:eastAsia="FangSong_GB2312" w:cs="FangSong_GB2312"/>
          <w:b/>
          <w:bCs/>
          <w:sz w:val="32"/>
          <w:szCs w:val="32"/>
        </w:rPr>
      </w:pPr>
      <w:r>
        <w:rPr>
          <w:rFonts w:ascii="FangSong_GB2312" w:hAnsi="FangSong_GB2312" w:eastAsia="FangSong_GB2312" w:cs="FangSong_GB2312"/>
          <w:b/>
          <w:bCs/>
          <w:sz w:val="32"/>
          <w:szCs w:val="32"/>
        </w:rPr>
        <w:t>1.一般公共预算当年拨款规模变化情况</w:t>
      </w:r>
    </w:p>
    <w:p>
      <w:pPr>
        <w:pStyle w:val="24"/>
        <w:spacing w:before="0" w:after="0" w:line="600" w:lineRule="atLeast"/>
        <w:ind w:left="0" w:right="0" w:firstLine="640"/>
        <w:jc w:val="both"/>
        <w:rPr>
          <w:rFonts w:ascii="FangSong_GB2312" w:hAnsi="FangSong_GB2312" w:eastAsia="FangSong_GB2312" w:cs="FangSong_GB2312"/>
          <w:sz w:val="32"/>
          <w:szCs w:val="32"/>
          <w:highlight w:val="none"/>
        </w:rPr>
      </w:pPr>
      <w:r>
        <w:rPr>
          <w:rStyle w:val="16"/>
          <w:sz w:val="32"/>
          <w:szCs w:val="32"/>
        </w:rPr>
        <w:t>2024</w:t>
      </w:r>
      <w:r>
        <w:rPr>
          <w:rFonts w:ascii="FangSong_GB2312" w:hAnsi="FangSong_GB2312" w:eastAsia="FangSong_GB2312" w:cs="FangSong_GB2312"/>
          <w:sz w:val="32"/>
          <w:szCs w:val="32"/>
        </w:rPr>
        <w:t>年一般公共预算当年拨款</w:t>
      </w:r>
      <w:r>
        <w:rPr>
          <w:rStyle w:val="16"/>
          <w:sz w:val="32"/>
          <w:szCs w:val="32"/>
        </w:rPr>
        <w:t>5,429.14</w:t>
      </w:r>
      <w:r>
        <w:rPr>
          <w:rFonts w:ascii="FangSong_GB2312" w:hAnsi="FangSong_GB2312" w:eastAsia="FangSong_GB2312" w:cs="FangSong_GB2312"/>
          <w:sz w:val="32"/>
          <w:szCs w:val="32"/>
        </w:rPr>
        <w:t>万元，比上年执行数增加</w:t>
      </w:r>
      <w:r>
        <w:rPr>
          <w:rStyle w:val="16"/>
          <w:sz w:val="32"/>
          <w:szCs w:val="32"/>
        </w:rPr>
        <w:t>196.79</w:t>
      </w:r>
      <w:r>
        <w:rPr>
          <w:rFonts w:ascii="FangSong_GB2312" w:hAnsi="FangSong_GB2312" w:eastAsia="FangSong_GB2312" w:cs="FangSong_GB2312"/>
          <w:sz w:val="32"/>
          <w:szCs w:val="32"/>
        </w:rPr>
        <w:t>万元，增长</w:t>
      </w:r>
      <w:r>
        <w:rPr>
          <w:rStyle w:val="16"/>
          <w:sz w:val="32"/>
          <w:szCs w:val="32"/>
        </w:rPr>
        <w:t>3.76</w:t>
      </w:r>
      <w:r>
        <w:rPr>
          <w:rFonts w:ascii="FangSong_GB2312" w:hAnsi="FangSong_GB2312" w:eastAsia="FangSong_GB2312" w:cs="FangSong_GB2312"/>
          <w:sz w:val="32"/>
          <w:szCs w:val="32"/>
        </w:rPr>
        <w:t>%，主要原因是</w:t>
      </w:r>
      <w:r>
        <w:rPr>
          <w:rFonts w:hint="eastAsia" w:ascii="FangSong_GB2312" w:hAnsi="FangSong_GB2312" w:eastAsia="FangSong_GB2312" w:cs="FangSong_GB2312"/>
          <w:sz w:val="32"/>
          <w:szCs w:val="32"/>
          <w:highlight w:val="none"/>
        </w:rPr>
        <w:t>支持山海协作对口地区帮扶资金</w:t>
      </w:r>
      <w:r>
        <w:rPr>
          <w:rFonts w:hint="eastAsia" w:ascii="FangSong_GB2312" w:hAnsi="FangSong_GB2312" w:eastAsia="FangSong_GB2312" w:cs="FangSong_GB2312"/>
          <w:sz w:val="32"/>
          <w:szCs w:val="32"/>
          <w:highlight w:val="none"/>
          <w:lang w:val="en-US" w:eastAsia="zh-CN"/>
        </w:rPr>
        <w:t>项目资金增加</w:t>
      </w:r>
      <w:r>
        <w:rPr>
          <w:rFonts w:ascii="FangSong_GB2312" w:hAnsi="FangSong_GB2312" w:eastAsia="FangSong_GB2312" w:cs="FangSong_GB2312"/>
          <w:sz w:val="32"/>
          <w:szCs w:val="32"/>
          <w:highlight w:val="none"/>
        </w:rPr>
        <w:t>。</w:t>
      </w:r>
    </w:p>
    <w:p>
      <w:pPr>
        <w:pStyle w:val="24"/>
        <w:spacing w:before="0" w:after="0" w:line="600" w:lineRule="atLeast"/>
        <w:ind w:left="0" w:right="0" w:firstLine="640"/>
        <w:jc w:val="both"/>
        <w:rPr>
          <w:rFonts w:ascii="FangSong_GB2312" w:hAnsi="FangSong_GB2312" w:eastAsia="FangSong_GB2312" w:cs="FangSong_GB2312"/>
          <w:b/>
          <w:bCs/>
          <w:sz w:val="32"/>
          <w:szCs w:val="32"/>
        </w:rPr>
      </w:pPr>
      <w:r>
        <w:rPr>
          <w:rFonts w:ascii="FangSong_GB2312" w:hAnsi="FangSong_GB2312" w:eastAsia="FangSong_GB2312" w:cs="FangSong_GB2312"/>
          <w:b/>
          <w:bCs/>
          <w:sz w:val="32"/>
          <w:szCs w:val="32"/>
        </w:rPr>
        <w:t>2.一般公共预算当年拨款结构情况</w:t>
      </w:r>
    </w:p>
    <w:p>
      <w:pPr>
        <w:pStyle w:val="24"/>
        <w:spacing w:before="0" w:after="0" w:line="600" w:lineRule="atLeast"/>
        <w:ind w:left="0" w:right="0" w:firstLine="640"/>
        <w:jc w:val="both"/>
        <w:rPr>
          <w:rFonts w:ascii="FangSong_GB2312" w:hAnsi="FangSong_GB2312" w:eastAsia="FangSong_GB2312" w:cs="FangSong_GB2312"/>
          <w:sz w:val="32"/>
          <w:szCs w:val="32"/>
        </w:rPr>
      </w:pPr>
      <w:r>
        <w:rPr>
          <w:rFonts w:ascii="FangSong_GB2312" w:hAnsi="FangSong_GB2312" w:eastAsia="FangSong_GB2312" w:cs="FangSong_GB2312"/>
          <w:sz w:val="32"/>
          <w:szCs w:val="32"/>
        </w:rPr>
        <w:t>一般公共服务支出（类）支出</w:t>
      </w:r>
      <w:r>
        <w:rPr>
          <w:rStyle w:val="16"/>
          <w:sz w:val="32"/>
          <w:szCs w:val="32"/>
        </w:rPr>
        <w:t>1,077.11</w:t>
      </w:r>
      <w:r>
        <w:rPr>
          <w:rFonts w:ascii="FangSong_GB2312" w:hAnsi="FangSong_GB2312" w:eastAsia="FangSong_GB2312" w:cs="FangSong_GB2312"/>
          <w:sz w:val="32"/>
          <w:szCs w:val="32"/>
        </w:rPr>
        <w:t>万元，占</w:t>
      </w:r>
      <w:r>
        <w:rPr>
          <w:rStyle w:val="16"/>
          <w:sz w:val="32"/>
          <w:szCs w:val="32"/>
        </w:rPr>
        <w:t>19.84</w:t>
      </w:r>
      <w:r>
        <w:rPr>
          <w:rFonts w:ascii="FangSong_GB2312" w:hAnsi="FangSong_GB2312" w:eastAsia="FangSong_GB2312" w:cs="FangSong_GB2312"/>
          <w:sz w:val="32"/>
          <w:szCs w:val="32"/>
        </w:rPr>
        <w:t>%；社会保障和就业支出（类）支出</w:t>
      </w:r>
      <w:r>
        <w:rPr>
          <w:rStyle w:val="16"/>
          <w:sz w:val="32"/>
          <w:szCs w:val="32"/>
        </w:rPr>
        <w:t>88.65</w:t>
      </w:r>
      <w:r>
        <w:rPr>
          <w:rFonts w:ascii="FangSong_GB2312" w:hAnsi="FangSong_GB2312" w:eastAsia="FangSong_GB2312" w:cs="FangSong_GB2312"/>
          <w:sz w:val="32"/>
          <w:szCs w:val="32"/>
        </w:rPr>
        <w:t>万元，占</w:t>
      </w:r>
      <w:r>
        <w:rPr>
          <w:rStyle w:val="16"/>
          <w:sz w:val="32"/>
          <w:szCs w:val="32"/>
        </w:rPr>
        <w:t>1.63</w:t>
      </w:r>
      <w:r>
        <w:rPr>
          <w:rFonts w:ascii="FangSong_GB2312" w:hAnsi="FangSong_GB2312" w:eastAsia="FangSong_GB2312" w:cs="FangSong_GB2312"/>
          <w:sz w:val="32"/>
          <w:szCs w:val="32"/>
        </w:rPr>
        <w:t>%；卫生健康支出（类）支出</w:t>
      </w:r>
      <w:r>
        <w:rPr>
          <w:rStyle w:val="16"/>
          <w:sz w:val="32"/>
          <w:szCs w:val="32"/>
        </w:rPr>
        <w:t>32.38</w:t>
      </w:r>
      <w:r>
        <w:rPr>
          <w:rFonts w:ascii="FangSong_GB2312" w:hAnsi="FangSong_GB2312" w:eastAsia="FangSong_GB2312" w:cs="FangSong_GB2312"/>
          <w:sz w:val="32"/>
          <w:szCs w:val="32"/>
        </w:rPr>
        <w:t>万元，占</w:t>
      </w:r>
      <w:r>
        <w:rPr>
          <w:rStyle w:val="16"/>
          <w:sz w:val="32"/>
          <w:szCs w:val="32"/>
        </w:rPr>
        <w:t>0.6</w:t>
      </w:r>
      <w:r>
        <w:rPr>
          <w:rFonts w:ascii="FangSong_GB2312" w:hAnsi="FangSong_GB2312" w:eastAsia="FangSong_GB2312" w:cs="FangSong_GB2312"/>
          <w:sz w:val="32"/>
          <w:szCs w:val="32"/>
        </w:rPr>
        <w:t>%；援助其他地区支出（类）支出</w:t>
      </w:r>
      <w:r>
        <w:rPr>
          <w:rStyle w:val="16"/>
          <w:sz w:val="32"/>
          <w:szCs w:val="32"/>
        </w:rPr>
        <w:t>4,231.00</w:t>
      </w:r>
      <w:r>
        <w:rPr>
          <w:rFonts w:ascii="FangSong_GB2312" w:hAnsi="FangSong_GB2312" w:eastAsia="FangSong_GB2312" w:cs="FangSong_GB2312"/>
          <w:sz w:val="32"/>
          <w:szCs w:val="32"/>
        </w:rPr>
        <w:t>万元，占</w:t>
      </w:r>
      <w:r>
        <w:rPr>
          <w:rStyle w:val="16"/>
          <w:sz w:val="32"/>
          <w:szCs w:val="32"/>
        </w:rPr>
        <w:t>77.93</w:t>
      </w:r>
      <w:r>
        <w:rPr>
          <w:rFonts w:ascii="FangSong_GB2312" w:hAnsi="FangSong_GB2312" w:eastAsia="FangSong_GB2312" w:cs="FangSong_GB2312"/>
          <w:sz w:val="32"/>
          <w:szCs w:val="32"/>
        </w:rPr>
        <w:t>%。</w:t>
      </w:r>
    </w:p>
    <w:p>
      <w:pPr>
        <w:pStyle w:val="24"/>
        <w:spacing w:before="0" w:after="0" w:line="600" w:lineRule="atLeast"/>
        <w:ind w:left="0" w:right="0" w:firstLine="640"/>
        <w:jc w:val="both"/>
        <w:rPr>
          <w:rFonts w:ascii="FangSong_GB2312" w:hAnsi="FangSong_GB2312" w:eastAsia="FangSong_GB2312" w:cs="FangSong_GB2312"/>
          <w:b/>
          <w:bCs/>
          <w:sz w:val="32"/>
          <w:szCs w:val="32"/>
        </w:rPr>
      </w:pPr>
      <w:r>
        <w:rPr>
          <w:rFonts w:ascii="FangSong_GB2312" w:hAnsi="FangSong_GB2312" w:eastAsia="FangSong_GB2312" w:cs="FangSong_GB2312"/>
          <w:b/>
          <w:bCs/>
          <w:sz w:val="32"/>
          <w:szCs w:val="32"/>
        </w:rPr>
        <w:t>3.一般公共预算当年拨款具体使用情况</w:t>
      </w:r>
    </w:p>
    <w:p>
      <w:pPr>
        <w:pStyle w:val="24"/>
        <w:spacing w:before="0" w:after="0" w:line="600" w:lineRule="atLeast"/>
        <w:ind w:left="0" w:right="0" w:firstLine="640"/>
        <w:jc w:val="both"/>
        <w:rPr>
          <w:rFonts w:ascii="FangSong_GB2312" w:hAnsi="FangSong_GB2312" w:eastAsia="FangSong_GB2312" w:cs="FangSong_GB2312"/>
          <w:sz w:val="32"/>
          <w:szCs w:val="32"/>
        </w:rPr>
      </w:pPr>
      <w:r>
        <w:rPr>
          <w:rFonts w:ascii="FangSong_GB2312" w:hAnsi="FangSong_GB2312" w:eastAsia="FangSong_GB2312" w:cs="FangSong_GB2312"/>
          <w:sz w:val="32"/>
          <w:szCs w:val="32"/>
        </w:rPr>
        <w:t>（1）一般公共服务支</w:t>
      </w:r>
      <w:bookmarkStart w:id="0" w:name="_GoBack"/>
      <w:bookmarkEnd w:id="0"/>
      <w:r>
        <w:rPr>
          <w:rFonts w:ascii="FangSong_GB2312" w:hAnsi="FangSong_GB2312" w:eastAsia="FangSong_GB2312" w:cs="FangSong_GB2312"/>
          <w:sz w:val="32"/>
          <w:szCs w:val="32"/>
        </w:rPr>
        <w:t>出（类）其他一般公共服务支出（款）其他一般公共服务支出（项）预算为</w:t>
      </w:r>
      <w:r>
        <w:rPr>
          <w:rStyle w:val="16"/>
          <w:sz w:val="32"/>
          <w:szCs w:val="32"/>
        </w:rPr>
        <w:t>1,077.11</w:t>
      </w:r>
      <w:r>
        <w:rPr>
          <w:rFonts w:ascii="FangSong_GB2312" w:hAnsi="FangSong_GB2312" w:eastAsia="FangSong_GB2312" w:cs="FangSong_GB2312"/>
          <w:sz w:val="32"/>
          <w:szCs w:val="32"/>
        </w:rPr>
        <w:t>万元，主要用于</w:t>
      </w:r>
      <w:r>
        <w:rPr>
          <w:rFonts w:hint="eastAsia" w:ascii="仿宋_GB2312" w:hAnsi="仿宋_GB2312" w:eastAsia="仿宋_GB2312" w:cs="仿宋_GB2312"/>
          <w:color w:val="auto"/>
          <w:sz w:val="32"/>
          <w:szCs w:val="32"/>
          <w:highlight w:val="none"/>
          <w:lang w:eastAsia="zh-CN"/>
        </w:rPr>
        <w:t>保障正常运转、完成日常工作而发生的人员、公用等</w:t>
      </w:r>
      <w:r>
        <w:rPr>
          <w:rFonts w:ascii="FangSong_GB2312" w:hAnsi="FangSong_GB2312" w:eastAsia="FangSong_GB2312" w:cs="FangSong_GB2312"/>
          <w:sz w:val="32"/>
          <w:szCs w:val="32"/>
        </w:rPr>
        <w:t>方面的支出。比上年执行数增加</w:t>
      </w:r>
      <w:r>
        <w:rPr>
          <w:rStyle w:val="16"/>
          <w:sz w:val="32"/>
          <w:szCs w:val="32"/>
        </w:rPr>
        <w:t>59.46</w:t>
      </w:r>
      <w:r>
        <w:rPr>
          <w:rFonts w:ascii="FangSong_GB2312" w:hAnsi="FangSong_GB2312" w:eastAsia="FangSong_GB2312" w:cs="FangSong_GB2312"/>
          <w:sz w:val="32"/>
          <w:szCs w:val="32"/>
        </w:rPr>
        <w:t>万元，增长</w:t>
      </w:r>
      <w:r>
        <w:rPr>
          <w:rStyle w:val="16"/>
          <w:sz w:val="32"/>
          <w:szCs w:val="32"/>
        </w:rPr>
        <w:t>5.8</w:t>
      </w:r>
      <w:r>
        <w:rPr>
          <w:rFonts w:ascii="FangSong_GB2312" w:hAnsi="FangSong_GB2312" w:eastAsia="FangSong_GB2312" w:cs="FangSong_GB2312"/>
          <w:sz w:val="32"/>
          <w:szCs w:val="32"/>
        </w:rPr>
        <w:t>%，主要原因是机构改革，工作内容调整。</w:t>
      </w:r>
    </w:p>
    <w:p>
      <w:pPr>
        <w:pStyle w:val="24"/>
        <w:spacing w:before="0" w:after="0" w:line="600" w:lineRule="atLeast"/>
        <w:ind w:left="0" w:right="0" w:firstLine="640"/>
        <w:jc w:val="both"/>
        <w:rPr>
          <w:rFonts w:ascii="FangSong_GB2312" w:hAnsi="FangSong_GB2312" w:eastAsia="FangSong_GB2312" w:cs="FangSong_GB2312"/>
          <w:sz w:val="32"/>
          <w:szCs w:val="32"/>
          <w:highlight w:val="none"/>
        </w:rPr>
      </w:pPr>
      <w:r>
        <w:rPr>
          <w:rFonts w:ascii="FangSong_GB2312" w:hAnsi="FangSong_GB2312" w:eastAsia="FangSong_GB2312" w:cs="FangSong_GB2312"/>
          <w:sz w:val="32"/>
          <w:szCs w:val="32"/>
        </w:rPr>
        <w:t>（2）社会保障和就业支出（类）行政事业单位养老支出（款）行政单位离退休（项）预算为</w:t>
      </w:r>
      <w:r>
        <w:rPr>
          <w:rStyle w:val="16"/>
          <w:sz w:val="32"/>
          <w:szCs w:val="32"/>
        </w:rPr>
        <w:t>6.85</w:t>
      </w:r>
      <w:r>
        <w:rPr>
          <w:rFonts w:ascii="FangSong_GB2312" w:hAnsi="FangSong_GB2312" w:eastAsia="FangSong_GB2312" w:cs="FangSong_GB2312"/>
          <w:sz w:val="32"/>
          <w:szCs w:val="32"/>
        </w:rPr>
        <w:t>万元，主要用于</w:t>
      </w:r>
      <w:r>
        <w:rPr>
          <w:rFonts w:hint="eastAsia" w:ascii="仿宋_GB2312" w:hAnsi="仿宋_GB2312" w:eastAsia="仿宋_GB2312" w:cs="仿宋_GB2312"/>
          <w:color w:val="auto"/>
          <w:sz w:val="32"/>
          <w:szCs w:val="32"/>
          <w:highlight w:val="none"/>
          <w:lang w:eastAsia="zh-CN"/>
        </w:rPr>
        <w:t>机关工作人员</w:t>
      </w:r>
      <w:r>
        <w:rPr>
          <w:rFonts w:hint="eastAsia" w:ascii="仿宋_GB2312" w:hAnsi="仿宋_GB2312" w:eastAsia="仿宋_GB2312" w:cs="仿宋_GB2312"/>
          <w:sz w:val="32"/>
          <w:szCs w:val="32"/>
          <w:highlight w:val="none"/>
          <w:lang w:eastAsia="zh-CN"/>
        </w:rPr>
        <w:t>行政单位离退休</w:t>
      </w:r>
      <w:r>
        <w:rPr>
          <w:rFonts w:ascii="FangSong_GB2312" w:hAnsi="FangSong_GB2312" w:eastAsia="FangSong_GB2312" w:cs="FangSong_GB2312"/>
          <w:sz w:val="32"/>
          <w:szCs w:val="32"/>
        </w:rPr>
        <w:t>方面的支出。比上年执行数增加</w:t>
      </w:r>
      <w:r>
        <w:rPr>
          <w:rStyle w:val="16"/>
          <w:sz w:val="32"/>
          <w:szCs w:val="32"/>
        </w:rPr>
        <w:t>0.34</w:t>
      </w:r>
      <w:r>
        <w:rPr>
          <w:rFonts w:ascii="FangSong_GB2312" w:hAnsi="FangSong_GB2312" w:eastAsia="FangSong_GB2312" w:cs="FangSong_GB2312"/>
          <w:sz w:val="32"/>
          <w:szCs w:val="32"/>
        </w:rPr>
        <w:t>万元，增长</w:t>
      </w:r>
      <w:r>
        <w:rPr>
          <w:rStyle w:val="16"/>
          <w:sz w:val="32"/>
          <w:szCs w:val="32"/>
        </w:rPr>
        <w:t>5.2</w:t>
      </w:r>
      <w:r>
        <w:rPr>
          <w:rFonts w:ascii="FangSong_GB2312" w:hAnsi="FangSong_GB2312" w:eastAsia="FangSong_GB2312" w:cs="FangSong_GB2312"/>
          <w:sz w:val="32"/>
          <w:szCs w:val="32"/>
        </w:rPr>
        <w:t>%，</w:t>
      </w:r>
      <w:r>
        <w:rPr>
          <w:rFonts w:ascii="FangSong_GB2312" w:hAnsi="FangSong_GB2312" w:eastAsia="FangSong_GB2312" w:cs="FangSong_GB2312"/>
          <w:sz w:val="32"/>
          <w:szCs w:val="32"/>
          <w:highlight w:val="none"/>
        </w:rPr>
        <w:t>主要原因是</w:t>
      </w:r>
      <w:r>
        <w:rPr>
          <w:rFonts w:hint="eastAsia" w:ascii="FangSong_GB2312" w:hAnsi="FangSong_GB2312" w:eastAsia="FangSong_GB2312" w:cs="FangSong_GB2312"/>
          <w:sz w:val="32"/>
          <w:szCs w:val="32"/>
          <w:highlight w:val="none"/>
          <w:lang w:val="en-US" w:eastAsia="zh-CN"/>
        </w:rPr>
        <w:t>退休人员增加</w:t>
      </w:r>
      <w:r>
        <w:rPr>
          <w:rFonts w:ascii="FangSong_GB2312" w:hAnsi="FangSong_GB2312" w:eastAsia="FangSong_GB2312" w:cs="FangSong_GB2312"/>
          <w:sz w:val="32"/>
          <w:szCs w:val="32"/>
          <w:highlight w:val="none"/>
        </w:rPr>
        <w:t>。</w:t>
      </w:r>
    </w:p>
    <w:p>
      <w:pPr>
        <w:pStyle w:val="24"/>
        <w:spacing w:before="0" w:after="0" w:line="600" w:lineRule="atLeast"/>
        <w:ind w:left="0" w:right="0" w:firstLine="640"/>
        <w:jc w:val="both"/>
        <w:rPr>
          <w:rFonts w:ascii="FangSong_GB2312" w:hAnsi="FangSong_GB2312" w:eastAsia="FangSong_GB2312" w:cs="FangSong_GB2312"/>
          <w:sz w:val="32"/>
          <w:szCs w:val="32"/>
          <w:highlight w:val="none"/>
        </w:rPr>
      </w:pPr>
      <w:r>
        <w:rPr>
          <w:rFonts w:ascii="FangSong_GB2312" w:hAnsi="FangSong_GB2312" w:eastAsia="FangSong_GB2312" w:cs="FangSong_GB2312"/>
          <w:sz w:val="32"/>
          <w:szCs w:val="32"/>
        </w:rPr>
        <w:t>（3）社会保障和就业支出（类）行政事业单位养老支出（款）机关事业单位基本养老保险缴费支出（项）预算为</w:t>
      </w:r>
      <w:r>
        <w:rPr>
          <w:rStyle w:val="16"/>
          <w:sz w:val="32"/>
          <w:szCs w:val="32"/>
        </w:rPr>
        <w:t>54.53</w:t>
      </w:r>
      <w:r>
        <w:rPr>
          <w:rFonts w:ascii="FangSong_GB2312" w:hAnsi="FangSong_GB2312" w:eastAsia="FangSong_GB2312" w:cs="FangSong_GB2312"/>
          <w:sz w:val="32"/>
          <w:szCs w:val="32"/>
        </w:rPr>
        <w:t>万元，主要用于</w:t>
      </w:r>
      <w:r>
        <w:rPr>
          <w:rFonts w:hint="eastAsia" w:ascii="仿宋_GB2312" w:hAnsi="仿宋_GB2312" w:eastAsia="仿宋_GB2312" w:cs="仿宋_GB2312"/>
          <w:color w:val="auto"/>
          <w:sz w:val="32"/>
          <w:szCs w:val="32"/>
          <w:highlight w:val="none"/>
          <w:lang w:eastAsia="zh-CN"/>
        </w:rPr>
        <w:t>机关工作人员基本养老保险</w:t>
      </w:r>
      <w:r>
        <w:rPr>
          <w:rFonts w:ascii="FangSong_GB2312" w:hAnsi="FangSong_GB2312" w:eastAsia="FangSong_GB2312" w:cs="FangSong_GB2312"/>
          <w:sz w:val="32"/>
          <w:szCs w:val="32"/>
        </w:rPr>
        <w:t>方面的支出。比上年执行数减少</w:t>
      </w:r>
      <w:r>
        <w:rPr>
          <w:rStyle w:val="16"/>
          <w:sz w:val="32"/>
          <w:szCs w:val="32"/>
        </w:rPr>
        <w:t>4.81</w:t>
      </w:r>
      <w:r>
        <w:rPr>
          <w:rFonts w:ascii="FangSong_GB2312" w:hAnsi="FangSong_GB2312" w:eastAsia="FangSong_GB2312" w:cs="FangSong_GB2312"/>
          <w:sz w:val="32"/>
          <w:szCs w:val="32"/>
        </w:rPr>
        <w:t>万元，下降</w:t>
      </w:r>
      <w:r>
        <w:rPr>
          <w:rStyle w:val="16"/>
          <w:sz w:val="32"/>
          <w:szCs w:val="32"/>
        </w:rPr>
        <w:t>8.1</w:t>
      </w:r>
      <w:r>
        <w:rPr>
          <w:rFonts w:ascii="FangSong_GB2312" w:hAnsi="FangSong_GB2312" w:eastAsia="FangSong_GB2312" w:cs="FangSong_GB2312"/>
          <w:sz w:val="32"/>
          <w:szCs w:val="32"/>
        </w:rPr>
        <w:t>%，</w:t>
      </w:r>
      <w:r>
        <w:rPr>
          <w:rFonts w:ascii="FangSong_GB2312" w:hAnsi="FangSong_GB2312" w:eastAsia="FangSong_GB2312" w:cs="FangSong_GB2312"/>
          <w:sz w:val="32"/>
          <w:szCs w:val="32"/>
          <w:highlight w:val="none"/>
        </w:rPr>
        <w:t>主要原因是</w:t>
      </w:r>
      <w:r>
        <w:rPr>
          <w:rFonts w:hint="eastAsia" w:ascii="FangSong_GB2312" w:hAnsi="FangSong_GB2312" w:eastAsia="FangSong_GB2312" w:cs="FangSong_GB2312"/>
          <w:sz w:val="32"/>
          <w:szCs w:val="32"/>
          <w:highlight w:val="none"/>
          <w:lang w:eastAsia="zh-CN"/>
        </w:rPr>
        <w:t>在职</w:t>
      </w:r>
      <w:r>
        <w:rPr>
          <w:rFonts w:hint="eastAsia" w:ascii="FangSong_GB2312" w:hAnsi="FangSong_GB2312" w:eastAsia="FangSong_GB2312" w:cs="FangSong_GB2312"/>
          <w:sz w:val="32"/>
          <w:szCs w:val="32"/>
          <w:highlight w:val="none"/>
          <w:lang w:val="en-US" w:eastAsia="zh-CN"/>
        </w:rPr>
        <w:t>人员减少</w:t>
      </w:r>
      <w:r>
        <w:rPr>
          <w:rFonts w:ascii="FangSong_GB2312" w:hAnsi="FangSong_GB2312" w:eastAsia="FangSong_GB2312" w:cs="FangSong_GB2312"/>
          <w:sz w:val="32"/>
          <w:szCs w:val="32"/>
          <w:highlight w:val="none"/>
        </w:rPr>
        <w:t>。</w:t>
      </w:r>
    </w:p>
    <w:p>
      <w:pPr>
        <w:pStyle w:val="24"/>
        <w:spacing w:before="0" w:after="0" w:line="600" w:lineRule="atLeast"/>
        <w:ind w:left="0" w:right="0" w:firstLine="640"/>
        <w:jc w:val="both"/>
        <w:rPr>
          <w:rFonts w:ascii="FangSong_GB2312" w:hAnsi="FangSong_GB2312" w:eastAsia="FangSong_GB2312" w:cs="FangSong_GB2312"/>
          <w:sz w:val="32"/>
          <w:szCs w:val="32"/>
        </w:rPr>
      </w:pPr>
      <w:r>
        <w:rPr>
          <w:rFonts w:ascii="FangSong_GB2312" w:hAnsi="FangSong_GB2312" w:eastAsia="FangSong_GB2312" w:cs="FangSong_GB2312"/>
          <w:sz w:val="32"/>
          <w:szCs w:val="32"/>
        </w:rPr>
        <w:t>（4）社会保障和就业支出（类）行政事业单位养老支出（款）机关事业单位职业年金缴费支出（项）预算为</w:t>
      </w:r>
      <w:r>
        <w:rPr>
          <w:rStyle w:val="16"/>
          <w:sz w:val="32"/>
          <w:szCs w:val="32"/>
        </w:rPr>
        <w:t>27.27</w:t>
      </w:r>
      <w:r>
        <w:rPr>
          <w:rFonts w:ascii="FangSong_GB2312" w:hAnsi="FangSong_GB2312" w:eastAsia="FangSong_GB2312" w:cs="FangSong_GB2312"/>
          <w:sz w:val="32"/>
          <w:szCs w:val="32"/>
        </w:rPr>
        <w:t>万元，主要用于</w:t>
      </w:r>
      <w:r>
        <w:rPr>
          <w:rFonts w:hint="eastAsia" w:ascii="仿宋_GB2312" w:hAnsi="仿宋_GB2312" w:eastAsia="仿宋_GB2312" w:cs="仿宋_GB2312"/>
          <w:color w:val="auto"/>
          <w:sz w:val="32"/>
          <w:szCs w:val="32"/>
          <w:highlight w:val="none"/>
          <w:lang w:eastAsia="zh-CN"/>
        </w:rPr>
        <w:t>机关工作人员职业年金</w:t>
      </w:r>
      <w:r>
        <w:rPr>
          <w:rFonts w:ascii="FangSong_GB2312" w:hAnsi="FangSong_GB2312" w:eastAsia="FangSong_GB2312" w:cs="FangSong_GB2312"/>
          <w:sz w:val="32"/>
          <w:szCs w:val="32"/>
        </w:rPr>
        <w:t>方面的支出。比上年执行数减少</w:t>
      </w:r>
      <w:r>
        <w:rPr>
          <w:rStyle w:val="16"/>
          <w:sz w:val="32"/>
          <w:szCs w:val="32"/>
        </w:rPr>
        <w:t>1.65</w:t>
      </w:r>
      <w:r>
        <w:rPr>
          <w:rFonts w:ascii="FangSong_GB2312" w:hAnsi="FangSong_GB2312" w:eastAsia="FangSong_GB2312" w:cs="FangSong_GB2312"/>
          <w:sz w:val="32"/>
          <w:szCs w:val="32"/>
        </w:rPr>
        <w:t>万元，下降</w:t>
      </w:r>
      <w:r>
        <w:rPr>
          <w:rStyle w:val="16"/>
          <w:sz w:val="32"/>
          <w:szCs w:val="32"/>
        </w:rPr>
        <w:t>5.69</w:t>
      </w:r>
      <w:r>
        <w:rPr>
          <w:rFonts w:ascii="FangSong_GB2312" w:hAnsi="FangSong_GB2312" w:eastAsia="FangSong_GB2312" w:cs="FangSong_GB2312"/>
          <w:sz w:val="32"/>
          <w:szCs w:val="32"/>
        </w:rPr>
        <w:t>%，主要原因是</w:t>
      </w:r>
      <w:r>
        <w:rPr>
          <w:rFonts w:hint="eastAsia" w:ascii="FangSong_GB2312" w:hAnsi="FangSong_GB2312" w:eastAsia="FangSong_GB2312" w:cs="FangSong_GB2312"/>
          <w:sz w:val="32"/>
          <w:szCs w:val="32"/>
          <w:lang w:eastAsia="zh-CN"/>
        </w:rPr>
        <w:t>在职</w:t>
      </w:r>
      <w:r>
        <w:rPr>
          <w:rFonts w:hint="eastAsia" w:ascii="FangSong_GB2312" w:hAnsi="FangSong_GB2312" w:eastAsia="FangSong_GB2312" w:cs="FangSong_GB2312"/>
          <w:sz w:val="32"/>
          <w:szCs w:val="32"/>
          <w:lang w:val="en-US" w:eastAsia="zh-CN"/>
        </w:rPr>
        <w:t>人员减少</w:t>
      </w:r>
      <w:r>
        <w:rPr>
          <w:rFonts w:ascii="FangSong_GB2312" w:hAnsi="FangSong_GB2312" w:eastAsia="FangSong_GB2312" w:cs="FangSong_GB2312"/>
          <w:sz w:val="32"/>
          <w:szCs w:val="32"/>
        </w:rPr>
        <w:t>。</w:t>
      </w:r>
    </w:p>
    <w:p>
      <w:pPr>
        <w:pStyle w:val="24"/>
        <w:spacing w:before="0" w:after="0" w:line="600" w:lineRule="atLeast"/>
        <w:ind w:left="0" w:right="0" w:firstLine="640"/>
        <w:jc w:val="both"/>
        <w:rPr>
          <w:rFonts w:ascii="FangSong_GB2312" w:hAnsi="FangSong_GB2312" w:eastAsia="FangSong_GB2312" w:cs="FangSong_GB2312"/>
          <w:sz w:val="32"/>
          <w:szCs w:val="32"/>
          <w:highlight w:val="none"/>
        </w:rPr>
      </w:pPr>
      <w:r>
        <w:rPr>
          <w:rFonts w:ascii="FangSong_GB2312" w:hAnsi="FangSong_GB2312" w:eastAsia="FangSong_GB2312" w:cs="FangSong_GB2312"/>
          <w:sz w:val="32"/>
          <w:szCs w:val="32"/>
        </w:rPr>
        <w:t>（5）卫生健康支出（类）行政事业单位医疗（款）行政单位医疗（项）预算为</w:t>
      </w:r>
      <w:r>
        <w:rPr>
          <w:rStyle w:val="16"/>
          <w:sz w:val="32"/>
          <w:szCs w:val="32"/>
        </w:rPr>
        <w:t>32.38</w:t>
      </w:r>
      <w:r>
        <w:rPr>
          <w:rFonts w:ascii="FangSong_GB2312" w:hAnsi="FangSong_GB2312" w:eastAsia="FangSong_GB2312" w:cs="FangSong_GB2312"/>
          <w:sz w:val="32"/>
          <w:szCs w:val="32"/>
        </w:rPr>
        <w:t>万元，主要用于</w:t>
      </w:r>
      <w:r>
        <w:rPr>
          <w:rFonts w:hint="eastAsia" w:ascii="仿宋_GB2312" w:hAnsi="仿宋_GB2312" w:eastAsia="仿宋_GB2312" w:cs="仿宋_GB2312"/>
          <w:color w:val="auto"/>
          <w:sz w:val="32"/>
          <w:szCs w:val="32"/>
          <w:highlight w:val="none"/>
          <w:lang w:eastAsia="zh-CN"/>
        </w:rPr>
        <w:t>行政单位医疗保险</w:t>
      </w:r>
      <w:r>
        <w:rPr>
          <w:rFonts w:ascii="FangSong_GB2312" w:hAnsi="FangSong_GB2312" w:eastAsia="FangSong_GB2312" w:cs="FangSong_GB2312"/>
          <w:sz w:val="32"/>
          <w:szCs w:val="32"/>
        </w:rPr>
        <w:t>方面的支出。比上年执行数增加</w:t>
      </w:r>
      <w:r>
        <w:rPr>
          <w:rStyle w:val="16"/>
          <w:sz w:val="32"/>
          <w:szCs w:val="32"/>
        </w:rPr>
        <w:t>10.44</w:t>
      </w:r>
      <w:r>
        <w:rPr>
          <w:rFonts w:ascii="FangSong_GB2312" w:hAnsi="FangSong_GB2312" w:eastAsia="FangSong_GB2312" w:cs="FangSong_GB2312"/>
          <w:sz w:val="32"/>
          <w:szCs w:val="32"/>
        </w:rPr>
        <w:t>万元，增长</w:t>
      </w:r>
      <w:r>
        <w:rPr>
          <w:rStyle w:val="16"/>
          <w:sz w:val="32"/>
          <w:szCs w:val="32"/>
        </w:rPr>
        <w:t>47.6</w:t>
      </w:r>
      <w:r>
        <w:rPr>
          <w:rFonts w:ascii="FangSong_GB2312" w:hAnsi="FangSong_GB2312" w:eastAsia="FangSong_GB2312" w:cs="FangSong_GB2312"/>
          <w:sz w:val="32"/>
          <w:szCs w:val="32"/>
        </w:rPr>
        <w:t>%，</w:t>
      </w:r>
      <w:r>
        <w:rPr>
          <w:rFonts w:ascii="FangSong_GB2312" w:hAnsi="FangSong_GB2312" w:eastAsia="FangSong_GB2312" w:cs="FangSong_GB2312"/>
          <w:sz w:val="32"/>
          <w:szCs w:val="32"/>
          <w:highlight w:val="none"/>
        </w:rPr>
        <w:t>主要原因是</w:t>
      </w:r>
      <w:r>
        <w:rPr>
          <w:rFonts w:hint="eastAsia" w:ascii="FangSong_GB2312" w:hAnsi="FangSong_GB2312" w:eastAsia="FangSong_GB2312" w:cs="FangSong_GB2312"/>
          <w:sz w:val="32"/>
          <w:szCs w:val="32"/>
          <w:highlight w:val="none"/>
          <w:lang w:val="en-US" w:eastAsia="zh-CN"/>
        </w:rPr>
        <w:t>医疗保险缴费基数调整</w:t>
      </w:r>
      <w:r>
        <w:rPr>
          <w:rFonts w:ascii="FangSong_GB2312" w:hAnsi="FangSong_GB2312" w:eastAsia="FangSong_GB2312" w:cs="FangSong_GB2312"/>
          <w:sz w:val="32"/>
          <w:szCs w:val="32"/>
          <w:highlight w:val="none"/>
        </w:rPr>
        <w:t>。</w:t>
      </w:r>
    </w:p>
    <w:p>
      <w:pPr>
        <w:pStyle w:val="25"/>
        <w:pBdr>
          <w:top w:val="none" w:color="auto" w:sz="0" w:space="0"/>
          <w:left w:val="none" w:color="auto" w:sz="0" w:space="0"/>
          <w:bottom w:val="none" w:color="auto" w:sz="0" w:space="0"/>
          <w:right w:val="none" w:color="auto" w:sz="0" w:space="0"/>
        </w:pBdr>
        <w:spacing w:before="0" w:after="0"/>
        <w:ind w:left="0" w:right="0" w:firstLine="0"/>
        <w:jc w:val="left"/>
        <w:rPr>
          <w:rFonts w:ascii="KaiTi_GB2312" w:hAnsi="KaiTi_GB2312" w:eastAsia="KaiTi_GB2312" w:cs="KaiTi_GB2312"/>
          <w:sz w:val="32"/>
          <w:szCs w:val="32"/>
        </w:rPr>
      </w:pPr>
      <w:r>
        <w:t>（六）一般公共预算基本支出情况说明（详见表6）</w:t>
      </w:r>
    </w:p>
    <w:p>
      <w:pPr>
        <w:pStyle w:val="24"/>
        <w:spacing w:before="0" w:after="0" w:line="600" w:lineRule="atLeast"/>
        <w:ind w:left="0" w:right="0" w:firstLine="640"/>
        <w:jc w:val="both"/>
        <w:rPr>
          <w:rFonts w:ascii="FangSong_GB2312" w:hAnsi="FangSong_GB2312" w:eastAsia="FangSong_GB2312" w:cs="FangSong_GB2312"/>
          <w:sz w:val="32"/>
          <w:szCs w:val="32"/>
        </w:rPr>
      </w:pPr>
      <w:r>
        <w:rPr>
          <w:rStyle w:val="16"/>
          <w:sz w:val="32"/>
          <w:szCs w:val="32"/>
        </w:rPr>
        <w:t>2024</w:t>
      </w:r>
      <w:r>
        <w:rPr>
          <w:rFonts w:ascii="FangSong_GB2312" w:hAnsi="FangSong_GB2312" w:eastAsia="FangSong_GB2312" w:cs="FangSong_GB2312"/>
          <w:sz w:val="32"/>
          <w:szCs w:val="32"/>
        </w:rPr>
        <w:t>年一般公共预算基本支出</w:t>
      </w:r>
      <w:r>
        <w:rPr>
          <w:rStyle w:val="16"/>
          <w:sz w:val="32"/>
          <w:szCs w:val="32"/>
        </w:rPr>
        <w:t>824.14</w:t>
      </w:r>
      <w:r>
        <w:rPr>
          <w:rFonts w:ascii="FangSong_GB2312" w:hAnsi="FangSong_GB2312" w:eastAsia="FangSong_GB2312" w:cs="FangSong_GB2312"/>
          <w:sz w:val="32"/>
          <w:szCs w:val="32"/>
        </w:rPr>
        <w:t>万元，其中：</w:t>
      </w:r>
    </w:p>
    <w:p>
      <w:pPr>
        <w:pStyle w:val="24"/>
        <w:spacing w:before="0" w:after="0" w:line="600" w:lineRule="atLeast"/>
        <w:ind w:left="0" w:right="0" w:firstLine="640"/>
        <w:jc w:val="both"/>
        <w:rPr>
          <w:rFonts w:ascii="FangSong_GB2312" w:hAnsi="FangSong_GB2312" w:eastAsia="FangSong_GB2312" w:cs="FangSong_GB2312"/>
          <w:sz w:val="32"/>
          <w:szCs w:val="32"/>
        </w:rPr>
      </w:pPr>
      <w:r>
        <w:rPr>
          <w:rFonts w:ascii="FangSong_GB2312" w:hAnsi="FangSong_GB2312" w:eastAsia="FangSong_GB2312" w:cs="FangSong_GB2312"/>
          <w:sz w:val="32"/>
          <w:szCs w:val="32"/>
        </w:rPr>
        <w:t>人员经费</w:t>
      </w:r>
      <w:r>
        <w:rPr>
          <w:rStyle w:val="16"/>
          <w:sz w:val="32"/>
          <w:szCs w:val="32"/>
        </w:rPr>
        <w:t>688.68</w:t>
      </w:r>
      <w:r>
        <w:rPr>
          <w:rFonts w:ascii="FangSong_GB2312" w:hAnsi="FangSong_GB2312" w:eastAsia="FangSong_GB2312" w:cs="FangSong_GB2312"/>
          <w:sz w:val="32"/>
          <w:szCs w:val="32"/>
        </w:rPr>
        <w:t>万元，主要包括：基本工资、津贴补贴、奖金、机关事业单位基本养老保险缴费、职业年金缴费、职工基本医疗保险缴费、其他社会保障缴费、住房公积金、医疗费、其他工资福利支出、退休费、其他对个人和家庭的补助。</w:t>
      </w:r>
    </w:p>
    <w:p>
      <w:pPr>
        <w:pStyle w:val="24"/>
        <w:spacing w:before="0" w:after="0" w:line="600" w:lineRule="atLeast"/>
        <w:ind w:left="0" w:right="0" w:firstLine="640"/>
        <w:jc w:val="both"/>
        <w:rPr>
          <w:rFonts w:ascii="FangSong_GB2312" w:hAnsi="FangSong_GB2312" w:eastAsia="FangSong_GB2312" w:cs="FangSong_GB2312"/>
          <w:sz w:val="32"/>
          <w:szCs w:val="32"/>
        </w:rPr>
      </w:pPr>
      <w:r>
        <w:rPr>
          <w:rFonts w:ascii="FangSong_GB2312" w:hAnsi="FangSong_GB2312" w:eastAsia="FangSong_GB2312" w:cs="FangSong_GB2312"/>
          <w:sz w:val="32"/>
          <w:szCs w:val="32"/>
        </w:rPr>
        <w:t>公用经费</w:t>
      </w:r>
      <w:r>
        <w:rPr>
          <w:rStyle w:val="16"/>
          <w:sz w:val="32"/>
          <w:szCs w:val="32"/>
        </w:rPr>
        <w:t>135.46</w:t>
      </w:r>
      <w:r>
        <w:rPr>
          <w:rFonts w:ascii="FangSong_GB2312" w:hAnsi="FangSong_GB2312" w:eastAsia="FangSong_GB2312" w:cs="FangSong_GB2312"/>
          <w:sz w:val="32"/>
          <w:szCs w:val="32"/>
        </w:rPr>
        <w:t>万元，主要包括：办公费、印刷费、水费、电费、邮电费、差旅费、维修(护)费、会议费、公务接待费、劳务费、工会经费、福利费、其他交通费用、其他商品和服务支出。</w:t>
      </w:r>
    </w:p>
    <w:p>
      <w:pPr>
        <w:pStyle w:val="25"/>
        <w:pBdr>
          <w:top w:val="none" w:color="auto" w:sz="0" w:space="0"/>
          <w:left w:val="none" w:color="auto" w:sz="0" w:space="0"/>
          <w:bottom w:val="none" w:color="auto" w:sz="0" w:space="0"/>
          <w:right w:val="none" w:color="auto" w:sz="0" w:space="0"/>
        </w:pBdr>
        <w:spacing w:before="0" w:after="0"/>
        <w:ind w:left="0" w:right="0" w:firstLine="0"/>
        <w:jc w:val="left"/>
        <w:rPr>
          <w:rFonts w:ascii="KaiTi_GB2312" w:hAnsi="KaiTi_GB2312" w:eastAsia="KaiTi_GB2312" w:cs="KaiTi_GB2312"/>
          <w:sz w:val="32"/>
          <w:szCs w:val="32"/>
        </w:rPr>
      </w:pPr>
      <w:r>
        <w:t>（七）一般公共预算“三公”经费预算情况说明（详见表7）</w:t>
      </w:r>
    </w:p>
    <w:p>
      <w:pPr>
        <w:pStyle w:val="24"/>
        <w:spacing w:before="0" w:after="0" w:line="600" w:lineRule="atLeast"/>
        <w:ind w:left="0" w:right="0" w:firstLine="640"/>
        <w:jc w:val="both"/>
        <w:rPr>
          <w:rFonts w:ascii="FangSong_GB2312" w:hAnsi="FangSong_GB2312" w:eastAsia="FangSong_GB2312" w:cs="FangSong_GB2312"/>
          <w:sz w:val="32"/>
          <w:szCs w:val="32"/>
        </w:rPr>
      </w:pPr>
      <w:r>
        <w:rPr>
          <w:rFonts w:ascii="FangSong_GB2312" w:hAnsi="FangSong_GB2312" w:eastAsia="FangSong_GB2312" w:cs="FangSong_GB2312"/>
          <w:sz w:val="32"/>
          <w:szCs w:val="32"/>
        </w:rPr>
        <w:t>2024年优化调整市本级因公出国（境）费用预算管理模式：年初各部门不编制因公出国（境）费用预算，各部门因公出国（境）费用年初预算均为“0”；年度执行中，根据实际工作需要和因公出国（境）计划审批情况，各部门相应调增因公出国（境）费用预算。</w:t>
      </w:r>
    </w:p>
    <w:p>
      <w:pPr>
        <w:pStyle w:val="24"/>
        <w:spacing w:before="0" w:after="0" w:line="600" w:lineRule="atLeast"/>
        <w:ind w:left="0" w:right="0" w:firstLine="640"/>
        <w:jc w:val="both"/>
        <w:rPr>
          <w:rFonts w:hint="eastAsia" w:ascii="FangSong_GB2312" w:hAnsi="FangSong_GB2312" w:eastAsia="FangSong_GB2312" w:cs="FangSong_GB2312"/>
          <w:b/>
          <w:bCs/>
          <w:sz w:val="32"/>
          <w:szCs w:val="32"/>
          <w:lang w:eastAsia="zh-CN"/>
        </w:rPr>
      </w:pPr>
      <w:r>
        <w:rPr>
          <w:rStyle w:val="16"/>
          <w:sz w:val="32"/>
          <w:szCs w:val="32"/>
        </w:rPr>
        <w:t>2024</w:t>
      </w:r>
      <w:r>
        <w:rPr>
          <w:rFonts w:ascii="FangSong_GB2312" w:hAnsi="FangSong_GB2312" w:eastAsia="FangSong_GB2312" w:cs="FangSong_GB2312"/>
          <w:sz w:val="32"/>
          <w:szCs w:val="32"/>
        </w:rPr>
        <w:t>年“三公”经费预算数为</w:t>
      </w:r>
      <w:r>
        <w:rPr>
          <w:rStyle w:val="16"/>
          <w:sz w:val="32"/>
          <w:szCs w:val="32"/>
        </w:rPr>
        <w:t>5.85</w:t>
      </w:r>
      <w:r>
        <w:rPr>
          <w:rFonts w:ascii="FangSong_GB2312" w:hAnsi="FangSong_GB2312" w:eastAsia="FangSong_GB2312" w:cs="FangSong_GB2312"/>
          <w:sz w:val="32"/>
          <w:szCs w:val="32"/>
        </w:rPr>
        <w:t>万元，比上年预算数减少</w:t>
      </w:r>
      <w:r>
        <w:rPr>
          <w:rFonts w:hint="eastAsia" w:ascii="FangSong_GB2312" w:hAnsi="FangSong_GB2312" w:eastAsia="FangSong_GB2312" w:cs="FangSong_GB2312"/>
          <w:sz w:val="32"/>
          <w:szCs w:val="32"/>
          <w:lang w:val="en-US" w:eastAsia="zh-CN"/>
        </w:rPr>
        <w:t>5.7</w:t>
      </w:r>
      <w:r>
        <w:rPr>
          <w:rFonts w:ascii="FangSong_GB2312" w:hAnsi="FangSong_GB2312" w:eastAsia="FangSong_GB2312" w:cs="FangSong_GB2312"/>
          <w:sz w:val="32"/>
          <w:szCs w:val="32"/>
        </w:rPr>
        <w:t>万元，下降</w:t>
      </w:r>
      <w:r>
        <w:rPr>
          <w:rFonts w:hint="eastAsia" w:ascii="FangSong_GB2312" w:hAnsi="FangSong_GB2312" w:eastAsia="FangSong_GB2312" w:cs="FangSong_GB2312"/>
          <w:sz w:val="32"/>
          <w:szCs w:val="32"/>
          <w:lang w:val="en-US" w:eastAsia="zh-CN"/>
        </w:rPr>
        <w:t>49.35</w:t>
      </w:r>
      <w:r>
        <w:rPr>
          <w:rFonts w:ascii="FangSong_GB2312" w:hAnsi="FangSong_GB2312" w:eastAsia="FangSong_GB2312" w:cs="FangSong_GB2312"/>
          <w:sz w:val="32"/>
          <w:szCs w:val="32"/>
        </w:rPr>
        <w:t>%；剔除因公出国（境）费用预算管理模式优化调整不可比因素后，</w:t>
      </w:r>
      <w:r>
        <w:rPr>
          <w:rFonts w:hint="eastAsia" w:ascii="FangSong_GB2312" w:hAnsi="FangSong_GB2312" w:eastAsia="FangSong_GB2312" w:cs="FangSong_GB2312"/>
          <w:sz w:val="32"/>
          <w:szCs w:val="32"/>
          <w:lang w:val="en-US" w:eastAsia="zh-CN"/>
        </w:rPr>
        <w:t>与上年基本持平</w:t>
      </w:r>
      <w:r>
        <w:rPr>
          <w:rFonts w:hint="eastAsia" w:ascii="FangSong_GB2312" w:hAnsi="FangSong_GB2312" w:eastAsia="FangSong_GB2312" w:cs="FangSong_GB2312"/>
          <w:b/>
          <w:bCs/>
          <w:sz w:val="32"/>
          <w:szCs w:val="32"/>
          <w:lang w:eastAsia="zh-CN"/>
        </w:rPr>
        <w:t>。</w:t>
      </w:r>
    </w:p>
    <w:p>
      <w:pPr>
        <w:pStyle w:val="24"/>
        <w:spacing w:before="0" w:after="0" w:line="600" w:lineRule="atLeast"/>
        <w:ind w:left="0" w:right="0" w:firstLine="640"/>
        <w:jc w:val="both"/>
        <w:rPr>
          <w:rFonts w:ascii="FangSong_GB2312" w:hAnsi="FangSong_GB2312" w:eastAsia="FangSong_GB2312" w:cs="FangSong_GB2312"/>
          <w:sz w:val="32"/>
          <w:szCs w:val="32"/>
        </w:rPr>
      </w:pPr>
      <w:r>
        <w:rPr>
          <w:rStyle w:val="26"/>
        </w:rPr>
        <w:t>1.因公出国（境）费用：</w:t>
      </w:r>
      <w:r>
        <w:rPr>
          <w:rFonts w:ascii="FangSong_GB2312" w:hAnsi="FangSong_GB2312" w:eastAsia="FangSong_GB2312" w:cs="FangSong_GB2312"/>
          <w:sz w:val="32"/>
          <w:szCs w:val="32"/>
        </w:rPr>
        <w:t>安排因公出国（境）费用预算</w:t>
      </w:r>
      <w:r>
        <w:rPr>
          <w:rStyle w:val="16"/>
          <w:sz w:val="32"/>
          <w:szCs w:val="32"/>
        </w:rPr>
        <w:t>0</w:t>
      </w:r>
      <w:r>
        <w:rPr>
          <w:rFonts w:ascii="FangSong_GB2312" w:hAnsi="FangSong_GB2312" w:eastAsia="FangSong_GB2312" w:cs="FangSong_GB2312"/>
          <w:sz w:val="32"/>
          <w:szCs w:val="32"/>
        </w:rPr>
        <w:t>万元，比上年预算数减少</w:t>
      </w:r>
      <w:r>
        <w:rPr>
          <w:rFonts w:hint="eastAsia" w:ascii="FangSong_GB2312" w:hAnsi="FangSong_GB2312" w:eastAsia="FangSong_GB2312" w:cs="FangSong_GB2312"/>
          <w:sz w:val="32"/>
          <w:szCs w:val="32"/>
          <w:lang w:val="en-US" w:eastAsia="zh-CN"/>
        </w:rPr>
        <w:t>5.7</w:t>
      </w:r>
      <w:r>
        <w:rPr>
          <w:rFonts w:ascii="FangSong_GB2312" w:hAnsi="FangSong_GB2312" w:eastAsia="FangSong_GB2312" w:cs="FangSong_GB2312"/>
          <w:sz w:val="32"/>
          <w:szCs w:val="32"/>
        </w:rPr>
        <w:t>万元，下降100%。主要用于机关单位人员的公务出国（境）的国际旅费、国外城市间交通费、住宿费、伙食费、培训费、公杂费等支出。减少的主要原因是因公出国（境）费用预算管理模式进行优化调整。</w:t>
      </w:r>
    </w:p>
    <w:p>
      <w:pPr>
        <w:pStyle w:val="24"/>
        <w:spacing w:before="0" w:after="0" w:line="600" w:lineRule="atLeast"/>
        <w:ind w:left="0" w:right="0" w:firstLine="640"/>
        <w:jc w:val="both"/>
        <w:rPr>
          <w:rFonts w:ascii="FangSong_GB2312" w:hAnsi="FangSong_GB2312" w:eastAsia="FangSong_GB2312" w:cs="FangSong_GB2312"/>
          <w:sz w:val="32"/>
          <w:szCs w:val="32"/>
        </w:rPr>
      </w:pPr>
      <w:r>
        <w:rPr>
          <w:rStyle w:val="26"/>
        </w:rPr>
        <w:t>2.公务接待费：</w:t>
      </w:r>
      <w:r>
        <w:rPr>
          <w:rFonts w:ascii="FangSong_GB2312" w:hAnsi="FangSong_GB2312" w:eastAsia="FangSong_GB2312" w:cs="FangSong_GB2312"/>
          <w:sz w:val="32"/>
          <w:szCs w:val="32"/>
        </w:rPr>
        <w:t>安排公务接待费预算</w:t>
      </w:r>
      <w:r>
        <w:rPr>
          <w:rStyle w:val="16"/>
          <w:sz w:val="32"/>
          <w:szCs w:val="32"/>
        </w:rPr>
        <w:t>5.85</w:t>
      </w:r>
      <w:r>
        <w:rPr>
          <w:rFonts w:ascii="FangSong_GB2312" w:hAnsi="FangSong_GB2312" w:eastAsia="FangSong_GB2312" w:cs="FangSong_GB2312"/>
          <w:sz w:val="32"/>
          <w:szCs w:val="32"/>
        </w:rPr>
        <w:t>万元，</w:t>
      </w:r>
      <w:r>
        <w:rPr>
          <w:rFonts w:hint="eastAsia" w:ascii="FangSong_GB2312" w:hAnsi="FangSong_GB2312" w:eastAsia="FangSong_GB2312" w:cs="FangSong_GB2312"/>
          <w:sz w:val="32"/>
          <w:szCs w:val="32"/>
          <w:lang w:val="en-US" w:eastAsia="zh-CN"/>
        </w:rPr>
        <w:t>与上年基本持平</w:t>
      </w:r>
      <w:r>
        <w:rPr>
          <w:rFonts w:ascii="FangSong_GB2312" w:hAnsi="FangSong_GB2312" w:eastAsia="FangSong_GB2312" w:cs="FangSong_GB2312"/>
          <w:sz w:val="32"/>
          <w:szCs w:val="32"/>
        </w:rPr>
        <w:t>。主要用于接待等支出。</w:t>
      </w:r>
    </w:p>
    <w:p>
      <w:pPr>
        <w:pStyle w:val="24"/>
        <w:spacing w:before="0" w:after="0" w:line="600" w:lineRule="atLeast"/>
        <w:ind w:left="0" w:right="0" w:firstLine="640"/>
        <w:jc w:val="both"/>
        <w:rPr>
          <w:rFonts w:ascii="FangSong_GB2312" w:hAnsi="FangSong_GB2312" w:eastAsia="FangSong_GB2312" w:cs="FangSong_GB2312"/>
          <w:sz w:val="32"/>
          <w:szCs w:val="32"/>
        </w:rPr>
      </w:pPr>
      <w:r>
        <w:rPr>
          <w:rStyle w:val="26"/>
        </w:rPr>
        <w:t>3.公务用车购置及运行维护费：</w:t>
      </w:r>
      <w:r>
        <w:rPr>
          <w:rFonts w:ascii="FangSong_GB2312" w:hAnsi="FangSong_GB2312" w:eastAsia="FangSong_GB2312" w:cs="FangSong_GB2312"/>
          <w:sz w:val="32"/>
          <w:szCs w:val="32"/>
        </w:rPr>
        <w:t>安排公务用车购置及运行维护费预算</w:t>
      </w:r>
      <w:r>
        <w:rPr>
          <w:rStyle w:val="16"/>
          <w:sz w:val="32"/>
          <w:szCs w:val="32"/>
        </w:rPr>
        <w:t>0</w:t>
      </w:r>
      <w:r>
        <w:rPr>
          <w:rFonts w:ascii="FangSong_GB2312" w:hAnsi="FangSong_GB2312" w:eastAsia="FangSong_GB2312" w:cs="FangSong_GB2312"/>
          <w:sz w:val="32"/>
          <w:szCs w:val="32"/>
        </w:rPr>
        <w:t>万元，</w:t>
      </w:r>
      <w:r>
        <w:rPr>
          <w:rFonts w:hint="eastAsia" w:ascii="FangSong_GB2312" w:hAnsi="FangSong_GB2312" w:eastAsia="FangSong_GB2312" w:cs="FangSong_GB2312"/>
          <w:sz w:val="32"/>
          <w:szCs w:val="32"/>
          <w:lang w:eastAsia="zh-CN"/>
        </w:rPr>
        <w:t>与上年基本持平</w:t>
      </w:r>
      <w:r>
        <w:rPr>
          <w:rFonts w:ascii="FangSong_GB2312" w:hAnsi="FangSong_GB2312" w:eastAsia="FangSong_GB2312" w:cs="FangSong_GB2312"/>
          <w:sz w:val="32"/>
          <w:szCs w:val="32"/>
        </w:rPr>
        <w:t>。其中，公务用车购置支出</w:t>
      </w:r>
      <w:r>
        <w:rPr>
          <w:rStyle w:val="16"/>
          <w:sz w:val="32"/>
          <w:szCs w:val="32"/>
        </w:rPr>
        <w:t>0</w:t>
      </w:r>
      <w:r>
        <w:rPr>
          <w:rFonts w:ascii="FangSong_GB2312" w:hAnsi="FangSong_GB2312" w:eastAsia="FangSong_GB2312" w:cs="FangSong_GB2312"/>
          <w:sz w:val="32"/>
          <w:szCs w:val="32"/>
        </w:rPr>
        <w:t>万元（含购置税等附加费用），主要用于经批准购置的</w:t>
      </w:r>
      <w:r>
        <w:rPr>
          <w:rFonts w:hint="eastAsia" w:ascii="FangSong_GB2312" w:hAnsi="FangSong_GB2312" w:eastAsia="FangSong_GB2312" w:cs="FangSong_GB2312"/>
          <w:sz w:val="32"/>
          <w:szCs w:val="32"/>
          <w:lang w:val="en-US" w:eastAsia="zh-CN"/>
        </w:rPr>
        <w:t>0</w:t>
      </w:r>
      <w:r>
        <w:rPr>
          <w:rFonts w:ascii="FangSong_GB2312" w:hAnsi="FangSong_GB2312" w:eastAsia="FangSong_GB2312" w:cs="FangSong_GB2312"/>
          <w:sz w:val="32"/>
          <w:szCs w:val="32"/>
        </w:rPr>
        <w:t>辆公务用车，</w:t>
      </w:r>
      <w:r>
        <w:rPr>
          <w:rFonts w:hint="eastAsia" w:ascii="FangSong_GB2312" w:hAnsi="FangSong_GB2312" w:eastAsia="FangSong_GB2312" w:cs="FangSong_GB2312"/>
          <w:sz w:val="32"/>
          <w:szCs w:val="32"/>
          <w:lang w:eastAsia="zh-CN"/>
        </w:rPr>
        <w:t>与上年持平</w:t>
      </w:r>
      <w:r>
        <w:rPr>
          <w:rFonts w:ascii="FangSong_GB2312" w:hAnsi="FangSong_GB2312" w:eastAsia="FangSong_GB2312" w:cs="FangSong_GB2312"/>
          <w:sz w:val="32"/>
          <w:szCs w:val="32"/>
        </w:rPr>
        <w:t>；公务用车运行维护费支出</w:t>
      </w:r>
      <w:r>
        <w:rPr>
          <w:rStyle w:val="16"/>
          <w:sz w:val="32"/>
          <w:szCs w:val="32"/>
        </w:rPr>
        <w:t>0</w:t>
      </w:r>
      <w:r>
        <w:rPr>
          <w:rFonts w:ascii="FangSong_GB2312" w:hAnsi="FangSong_GB2312" w:eastAsia="FangSong_GB2312" w:cs="FangSong_GB2312"/>
          <w:sz w:val="32"/>
          <w:szCs w:val="32"/>
        </w:rPr>
        <w:t>万元，主要用于公务用车燃料费、维修费、过桥过路费、保险费、安全奖励费用等支出。</w:t>
      </w:r>
      <w:r>
        <w:rPr>
          <w:rFonts w:hint="eastAsia" w:ascii="FangSong_GB2312" w:hAnsi="FangSong_GB2312" w:eastAsia="FangSong_GB2312" w:cs="FangSong_GB2312"/>
          <w:sz w:val="32"/>
          <w:szCs w:val="32"/>
          <w:lang w:eastAsia="zh-CN"/>
        </w:rPr>
        <w:t>与上年持平</w:t>
      </w:r>
      <w:r>
        <w:rPr>
          <w:rFonts w:ascii="FangSong_GB2312" w:hAnsi="FangSong_GB2312" w:eastAsia="FangSong_GB2312" w:cs="FangSong_GB2312"/>
          <w:sz w:val="32"/>
          <w:szCs w:val="32"/>
        </w:rPr>
        <w:t>。</w:t>
      </w:r>
    </w:p>
    <w:p>
      <w:pPr>
        <w:pStyle w:val="25"/>
        <w:pBdr>
          <w:top w:val="none" w:color="auto" w:sz="0" w:space="0"/>
          <w:left w:val="none" w:color="auto" w:sz="0" w:space="0"/>
          <w:bottom w:val="none" w:color="auto" w:sz="0" w:space="0"/>
          <w:right w:val="none" w:color="auto" w:sz="0" w:space="0"/>
        </w:pBdr>
        <w:spacing w:before="0" w:after="0"/>
        <w:ind w:left="0" w:right="0" w:firstLine="0"/>
        <w:jc w:val="left"/>
        <w:rPr>
          <w:rFonts w:ascii="KaiTi_GB2312" w:hAnsi="KaiTi_GB2312" w:eastAsia="KaiTi_GB2312" w:cs="KaiTi_GB2312"/>
          <w:sz w:val="32"/>
          <w:szCs w:val="32"/>
        </w:rPr>
      </w:pPr>
      <w:r>
        <w:t>（八）政府性基金预算支出情况说明（详见表8）</w:t>
      </w:r>
    </w:p>
    <w:p>
      <w:pPr>
        <w:pStyle w:val="24"/>
        <w:spacing w:before="0" w:after="0" w:line="600" w:lineRule="atLeast"/>
        <w:ind w:left="0" w:right="0" w:firstLine="640"/>
        <w:jc w:val="both"/>
        <w:rPr>
          <w:rFonts w:ascii="FangSong_GB2312" w:hAnsi="FangSong_GB2312" w:eastAsia="FangSong_GB2312" w:cs="FangSong_GB2312"/>
          <w:sz w:val="32"/>
          <w:szCs w:val="32"/>
        </w:rPr>
      </w:pPr>
      <w:r>
        <w:rPr>
          <w:rFonts w:ascii="FangSong_GB2312" w:hAnsi="FangSong_GB2312" w:eastAsia="FangSong_GB2312" w:cs="FangSong_GB2312"/>
          <w:sz w:val="32"/>
          <w:szCs w:val="32"/>
        </w:rPr>
        <w:t>本部门</w:t>
      </w:r>
      <w:r>
        <w:rPr>
          <w:rStyle w:val="16"/>
          <w:sz w:val="32"/>
          <w:szCs w:val="32"/>
        </w:rPr>
        <w:t>2024</w:t>
      </w:r>
      <w:r>
        <w:rPr>
          <w:rFonts w:ascii="FangSong_GB2312" w:hAnsi="FangSong_GB2312" w:eastAsia="FangSong_GB2312" w:cs="FangSong_GB2312"/>
          <w:sz w:val="32"/>
          <w:szCs w:val="32"/>
        </w:rPr>
        <w:t>年度没有使用政府性基金预算拨款安排的支出，与上年持平。</w:t>
      </w:r>
    </w:p>
    <w:p>
      <w:pPr>
        <w:pStyle w:val="25"/>
        <w:pBdr>
          <w:top w:val="none" w:color="auto" w:sz="0" w:space="0"/>
          <w:left w:val="none" w:color="auto" w:sz="0" w:space="0"/>
          <w:bottom w:val="none" w:color="auto" w:sz="0" w:space="0"/>
          <w:right w:val="none" w:color="auto" w:sz="0" w:space="0"/>
        </w:pBdr>
        <w:spacing w:before="0" w:after="0"/>
        <w:ind w:left="0" w:right="0" w:firstLine="0"/>
        <w:jc w:val="left"/>
        <w:rPr>
          <w:rFonts w:ascii="KaiTi_GB2312" w:hAnsi="KaiTi_GB2312" w:eastAsia="KaiTi_GB2312" w:cs="KaiTi_GB2312"/>
          <w:sz w:val="32"/>
          <w:szCs w:val="32"/>
        </w:rPr>
      </w:pPr>
      <w:r>
        <w:t>（九）国有资本经营预算支出情况说明（详见表9）</w:t>
      </w:r>
    </w:p>
    <w:p>
      <w:pPr>
        <w:pStyle w:val="24"/>
        <w:spacing w:before="0" w:after="0" w:line="600" w:lineRule="atLeast"/>
        <w:ind w:left="0" w:right="0" w:firstLine="640"/>
        <w:jc w:val="both"/>
        <w:rPr>
          <w:rFonts w:ascii="FangSong_GB2312" w:hAnsi="FangSong_GB2312" w:eastAsia="FangSong_GB2312" w:cs="FangSong_GB2312"/>
          <w:sz w:val="32"/>
          <w:szCs w:val="32"/>
        </w:rPr>
      </w:pPr>
      <w:r>
        <w:rPr>
          <w:rFonts w:ascii="FangSong_GB2312" w:hAnsi="FangSong_GB2312" w:eastAsia="FangSong_GB2312" w:cs="FangSong_GB2312"/>
          <w:sz w:val="32"/>
          <w:szCs w:val="32"/>
        </w:rPr>
        <w:t>本部门</w:t>
      </w:r>
      <w:r>
        <w:rPr>
          <w:rStyle w:val="16"/>
          <w:sz w:val="32"/>
          <w:szCs w:val="32"/>
        </w:rPr>
        <w:t>2024</w:t>
      </w:r>
      <w:r>
        <w:rPr>
          <w:rFonts w:ascii="FangSong_GB2312" w:hAnsi="FangSong_GB2312" w:eastAsia="FangSong_GB2312" w:cs="FangSong_GB2312"/>
          <w:sz w:val="32"/>
          <w:szCs w:val="32"/>
        </w:rPr>
        <w:t>年度没有使用国有资本经营预算拨款安排的支出，与上年持平。</w:t>
      </w:r>
    </w:p>
    <w:p>
      <w:pPr>
        <w:pStyle w:val="25"/>
        <w:pBdr>
          <w:top w:val="none" w:color="auto" w:sz="0" w:space="0"/>
          <w:left w:val="none" w:color="auto" w:sz="0" w:space="0"/>
          <w:bottom w:val="none" w:color="auto" w:sz="0" w:space="0"/>
          <w:right w:val="none" w:color="auto" w:sz="0" w:space="0"/>
        </w:pBdr>
        <w:spacing w:before="0" w:after="0"/>
        <w:ind w:left="0" w:right="0" w:firstLine="0"/>
        <w:jc w:val="left"/>
        <w:rPr>
          <w:rFonts w:ascii="KaiTi_GB2312" w:hAnsi="KaiTi_GB2312" w:eastAsia="KaiTi_GB2312" w:cs="KaiTi_GB2312"/>
          <w:sz w:val="32"/>
          <w:szCs w:val="32"/>
        </w:rPr>
      </w:pPr>
      <w:r>
        <w:t>（十）其他重要事项的情况说明</w:t>
      </w:r>
    </w:p>
    <w:p>
      <w:pPr>
        <w:pStyle w:val="24"/>
        <w:spacing w:before="0" w:after="0" w:line="600" w:lineRule="atLeast"/>
        <w:ind w:left="0" w:right="0" w:firstLine="640"/>
        <w:jc w:val="both"/>
        <w:rPr>
          <w:rFonts w:ascii="FangSong_GB2312" w:hAnsi="FangSong_GB2312" w:eastAsia="FangSong_GB2312" w:cs="FangSong_GB2312"/>
          <w:b/>
          <w:bCs/>
          <w:sz w:val="32"/>
          <w:szCs w:val="32"/>
        </w:rPr>
      </w:pPr>
      <w:r>
        <w:rPr>
          <w:rFonts w:ascii="FangSong_GB2312" w:hAnsi="FangSong_GB2312" w:eastAsia="FangSong_GB2312" w:cs="FangSong_GB2312"/>
          <w:b/>
          <w:bCs/>
          <w:sz w:val="32"/>
          <w:szCs w:val="32"/>
        </w:rPr>
        <w:t>1.机关运行经费</w:t>
      </w:r>
    </w:p>
    <w:p>
      <w:pPr>
        <w:pStyle w:val="24"/>
        <w:spacing w:before="0" w:after="0" w:line="600" w:lineRule="atLeast"/>
        <w:ind w:left="0" w:right="0" w:firstLine="640"/>
        <w:jc w:val="both"/>
        <w:rPr>
          <w:rFonts w:ascii="FangSong_GB2312" w:hAnsi="FangSong_GB2312" w:eastAsia="FangSong_GB2312" w:cs="FangSong_GB2312"/>
          <w:sz w:val="32"/>
          <w:szCs w:val="32"/>
        </w:rPr>
      </w:pPr>
      <w:r>
        <w:rPr>
          <w:rStyle w:val="16"/>
          <w:sz w:val="32"/>
          <w:szCs w:val="32"/>
        </w:rPr>
        <w:t>2024</w:t>
      </w:r>
      <w:r>
        <w:rPr>
          <w:rFonts w:ascii="FangSong_GB2312" w:hAnsi="FangSong_GB2312" w:eastAsia="FangSong_GB2312" w:cs="FangSong_GB2312"/>
          <w:sz w:val="32"/>
          <w:szCs w:val="32"/>
        </w:rPr>
        <w:t>年，本部门杭州市对口支援和区域合作局等</w:t>
      </w:r>
      <w:r>
        <w:rPr>
          <w:rStyle w:val="16"/>
          <w:sz w:val="32"/>
          <w:szCs w:val="32"/>
        </w:rPr>
        <w:t>1</w:t>
      </w:r>
      <w:r>
        <w:rPr>
          <w:rFonts w:ascii="FangSong_GB2312" w:hAnsi="FangSong_GB2312" w:eastAsia="FangSong_GB2312" w:cs="FangSong_GB2312"/>
          <w:sz w:val="32"/>
          <w:szCs w:val="32"/>
        </w:rPr>
        <w:t>家行政单位的机关运行经费财政拨款预算</w:t>
      </w:r>
      <w:r>
        <w:rPr>
          <w:rFonts w:hint="eastAsia" w:ascii="FangSong_GB2312" w:hAnsi="FangSong_GB2312" w:eastAsia="FangSong_GB2312" w:cs="FangSong_GB2312"/>
          <w:sz w:val="32"/>
          <w:szCs w:val="32"/>
          <w:lang w:val="en-US" w:eastAsia="zh-CN"/>
        </w:rPr>
        <w:t>135.46</w:t>
      </w:r>
      <w:r>
        <w:rPr>
          <w:rFonts w:ascii="FangSong_GB2312" w:hAnsi="FangSong_GB2312" w:eastAsia="FangSong_GB2312" w:cs="FangSong_GB2312"/>
          <w:sz w:val="32"/>
          <w:szCs w:val="32"/>
        </w:rPr>
        <w:t>万元，比上年预算减少</w:t>
      </w:r>
      <w:r>
        <w:rPr>
          <w:rFonts w:hint="eastAsia" w:ascii="FangSong_GB2312" w:hAnsi="FangSong_GB2312" w:eastAsia="FangSong_GB2312" w:cs="FangSong_GB2312"/>
          <w:sz w:val="32"/>
          <w:szCs w:val="32"/>
          <w:lang w:val="en-US" w:eastAsia="zh-CN"/>
        </w:rPr>
        <w:t>13.03</w:t>
      </w:r>
      <w:r>
        <w:rPr>
          <w:rFonts w:ascii="FangSong_GB2312" w:hAnsi="FangSong_GB2312" w:eastAsia="FangSong_GB2312" w:cs="FangSong_GB2312"/>
          <w:sz w:val="32"/>
          <w:szCs w:val="32"/>
        </w:rPr>
        <w:t>万元，下降</w:t>
      </w:r>
      <w:r>
        <w:rPr>
          <w:rFonts w:hint="eastAsia" w:ascii="FangSong_GB2312" w:hAnsi="FangSong_GB2312" w:eastAsia="FangSong_GB2312" w:cs="FangSong_GB2312"/>
          <w:sz w:val="32"/>
          <w:szCs w:val="32"/>
          <w:lang w:val="en-US" w:eastAsia="zh-CN"/>
        </w:rPr>
        <w:t>8.78</w:t>
      </w:r>
      <w:r>
        <w:rPr>
          <w:rFonts w:ascii="FangSong_GB2312" w:hAnsi="FangSong_GB2312" w:eastAsia="FangSong_GB2312" w:cs="FangSong_GB2312"/>
          <w:sz w:val="32"/>
          <w:szCs w:val="32"/>
        </w:rPr>
        <w:t>%，主要原因是</w:t>
      </w:r>
      <w:r>
        <w:rPr>
          <w:rFonts w:hint="eastAsia" w:ascii="FangSong_GB2312" w:hAnsi="FangSong_GB2312" w:eastAsia="FangSong_GB2312" w:cs="FangSong_GB2312"/>
          <w:sz w:val="32"/>
          <w:szCs w:val="32"/>
          <w:lang w:eastAsia="zh-CN"/>
        </w:rPr>
        <w:t>在职</w:t>
      </w:r>
      <w:r>
        <w:rPr>
          <w:rFonts w:hint="eastAsia" w:ascii="FangSong_GB2312" w:hAnsi="FangSong_GB2312" w:eastAsia="FangSong_GB2312" w:cs="FangSong_GB2312"/>
          <w:sz w:val="32"/>
          <w:szCs w:val="32"/>
          <w:lang w:val="en-US" w:eastAsia="zh-CN"/>
        </w:rPr>
        <w:t>人员减少</w:t>
      </w:r>
      <w:r>
        <w:rPr>
          <w:rFonts w:ascii="FangSong_GB2312" w:hAnsi="FangSong_GB2312" w:eastAsia="FangSong_GB2312" w:cs="FangSong_GB2312"/>
          <w:sz w:val="32"/>
          <w:szCs w:val="32"/>
        </w:rPr>
        <w:t>。</w:t>
      </w:r>
    </w:p>
    <w:p>
      <w:pPr>
        <w:pStyle w:val="24"/>
        <w:spacing w:before="0" w:after="0" w:line="600" w:lineRule="atLeast"/>
        <w:ind w:left="0" w:right="0" w:firstLine="640"/>
        <w:jc w:val="both"/>
        <w:rPr>
          <w:rFonts w:ascii="FangSong_GB2312" w:hAnsi="FangSong_GB2312" w:eastAsia="FangSong_GB2312" w:cs="FangSong_GB2312"/>
          <w:b/>
          <w:bCs/>
          <w:sz w:val="32"/>
          <w:szCs w:val="32"/>
        </w:rPr>
      </w:pPr>
      <w:r>
        <w:rPr>
          <w:rFonts w:ascii="FangSong_GB2312" w:hAnsi="FangSong_GB2312" w:eastAsia="FangSong_GB2312" w:cs="FangSong_GB2312"/>
          <w:b/>
          <w:bCs/>
          <w:sz w:val="32"/>
          <w:szCs w:val="32"/>
        </w:rPr>
        <w:t>2.政府采购情况</w:t>
      </w:r>
    </w:p>
    <w:p>
      <w:pPr>
        <w:pStyle w:val="24"/>
        <w:spacing w:before="0" w:after="0" w:line="600" w:lineRule="atLeast"/>
        <w:ind w:left="0" w:right="0" w:firstLine="640"/>
        <w:jc w:val="both"/>
        <w:rPr>
          <w:rFonts w:ascii="FangSong_GB2312" w:hAnsi="FangSong_GB2312" w:eastAsia="FangSong_GB2312" w:cs="FangSong_GB2312"/>
          <w:sz w:val="32"/>
          <w:szCs w:val="32"/>
        </w:rPr>
      </w:pPr>
      <w:r>
        <w:rPr>
          <w:rStyle w:val="16"/>
          <w:sz w:val="32"/>
          <w:szCs w:val="32"/>
        </w:rPr>
        <w:t>2024</w:t>
      </w:r>
      <w:r>
        <w:rPr>
          <w:rFonts w:ascii="FangSong_GB2312" w:hAnsi="FangSong_GB2312" w:eastAsia="FangSong_GB2312" w:cs="FangSong_GB2312"/>
          <w:sz w:val="32"/>
          <w:szCs w:val="32"/>
        </w:rPr>
        <w:t>年本部门政府采购预算总额</w:t>
      </w:r>
      <w:r>
        <w:rPr>
          <w:rFonts w:hint="eastAsia" w:ascii="FangSong_GB2312" w:hAnsi="FangSong_GB2312" w:eastAsia="FangSong_GB2312" w:cs="FangSong_GB2312"/>
          <w:sz w:val="32"/>
          <w:szCs w:val="32"/>
          <w:lang w:val="en-US" w:eastAsia="zh-CN"/>
        </w:rPr>
        <w:t>112.03</w:t>
      </w:r>
      <w:r>
        <w:rPr>
          <w:rFonts w:ascii="FangSong_GB2312" w:hAnsi="FangSong_GB2312" w:eastAsia="FangSong_GB2312" w:cs="FangSong_GB2312"/>
          <w:sz w:val="32"/>
          <w:szCs w:val="32"/>
        </w:rPr>
        <w:t>万元，其中：政府采购货物预算</w:t>
      </w:r>
      <w:r>
        <w:rPr>
          <w:rFonts w:hint="eastAsia" w:ascii="FangSong_GB2312" w:hAnsi="FangSong_GB2312" w:eastAsia="FangSong_GB2312" w:cs="FangSong_GB2312"/>
          <w:sz w:val="32"/>
          <w:szCs w:val="32"/>
          <w:lang w:val="en-US" w:eastAsia="zh-CN"/>
        </w:rPr>
        <w:t>0</w:t>
      </w:r>
      <w:r>
        <w:rPr>
          <w:rFonts w:ascii="FangSong_GB2312" w:hAnsi="FangSong_GB2312" w:eastAsia="FangSong_GB2312" w:cs="FangSong_GB2312"/>
          <w:sz w:val="32"/>
          <w:szCs w:val="32"/>
        </w:rPr>
        <w:t>万元、政府采购工程预算</w:t>
      </w:r>
      <w:r>
        <w:rPr>
          <w:rFonts w:hint="eastAsia" w:ascii="FangSong_GB2312" w:hAnsi="FangSong_GB2312" w:eastAsia="FangSong_GB2312" w:cs="FangSong_GB2312"/>
          <w:sz w:val="32"/>
          <w:szCs w:val="32"/>
          <w:lang w:val="en-US" w:eastAsia="zh-CN"/>
        </w:rPr>
        <w:t>0</w:t>
      </w:r>
      <w:r>
        <w:rPr>
          <w:rFonts w:ascii="FangSong_GB2312" w:hAnsi="FangSong_GB2312" w:eastAsia="FangSong_GB2312" w:cs="FangSong_GB2312"/>
          <w:sz w:val="32"/>
          <w:szCs w:val="32"/>
        </w:rPr>
        <w:t>万元、政府采购服务预算</w:t>
      </w:r>
      <w:r>
        <w:rPr>
          <w:rFonts w:hint="eastAsia" w:ascii="FangSong_GB2312" w:hAnsi="FangSong_GB2312" w:eastAsia="FangSong_GB2312" w:cs="FangSong_GB2312"/>
          <w:sz w:val="32"/>
          <w:szCs w:val="32"/>
          <w:lang w:val="en-US" w:eastAsia="zh-CN"/>
        </w:rPr>
        <w:t>112.03</w:t>
      </w:r>
      <w:r>
        <w:rPr>
          <w:rFonts w:ascii="FangSong_GB2312" w:hAnsi="FangSong_GB2312" w:eastAsia="FangSong_GB2312" w:cs="FangSong_GB2312"/>
          <w:sz w:val="32"/>
          <w:szCs w:val="32"/>
        </w:rPr>
        <w:t>万元。</w:t>
      </w:r>
    </w:p>
    <w:p>
      <w:pPr>
        <w:pStyle w:val="24"/>
        <w:spacing w:before="0" w:after="0" w:line="600" w:lineRule="atLeast"/>
        <w:ind w:left="0" w:right="0" w:firstLine="640"/>
        <w:jc w:val="both"/>
        <w:rPr>
          <w:rFonts w:ascii="FangSong_GB2312" w:hAnsi="FangSong_GB2312" w:eastAsia="FangSong_GB2312" w:cs="FangSong_GB2312"/>
          <w:b/>
          <w:bCs/>
          <w:sz w:val="32"/>
          <w:szCs w:val="32"/>
        </w:rPr>
      </w:pPr>
      <w:r>
        <w:rPr>
          <w:rFonts w:ascii="FangSong_GB2312" w:hAnsi="FangSong_GB2312" w:eastAsia="FangSong_GB2312" w:cs="FangSong_GB2312"/>
          <w:b/>
          <w:bCs/>
          <w:sz w:val="32"/>
          <w:szCs w:val="32"/>
        </w:rPr>
        <w:t>3.国有资产占有使用情况</w:t>
      </w:r>
    </w:p>
    <w:p>
      <w:pPr>
        <w:pStyle w:val="24"/>
        <w:spacing w:before="0" w:after="0" w:line="600" w:lineRule="atLeast"/>
        <w:ind w:left="0" w:right="0" w:firstLine="640"/>
        <w:jc w:val="both"/>
        <w:rPr>
          <w:rFonts w:ascii="FangSong_GB2312" w:hAnsi="FangSong_GB2312" w:eastAsia="FangSong_GB2312" w:cs="FangSong_GB2312"/>
          <w:sz w:val="32"/>
          <w:szCs w:val="32"/>
        </w:rPr>
      </w:pPr>
      <w:r>
        <w:rPr>
          <w:rFonts w:ascii="FangSong_GB2312" w:hAnsi="FangSong_GB2312" w:eastAsia="FangSong_GB2312" w:cs="FangSong_GB2312"/>
          <w:sz w:val="32"/>
          <w:szCs w:val="32"/>
        </w:rPr>
        <w:t>截至2023年12月31日，本部门共有车辆</w:t>
      </w:r>
      <w:r>
        <w:rPr>
          <w:rFonts w:hint="eastAsia" w:ascii="FangSong_GB2312" w:hAnsi="FangSong_GB2312" w:eastAsia="FangSong_GB2312" w:cs="FangSong_GB2312"/>
          <w:sz w:val="32"/>
          <w:szCs w:val="32"/>
          <w:lang w:val="en-US" w:eastAsia="zh-CN"/>
        </w:rPr>
        <w:t>0</w:t>
      </w:r>
      <w:r>
        <w:rPr>
          <w:rFonts w:ascii="FangSong_GB2312" w:hAnsi="FangSong_GB2312" w:eastAsia="FangSong_GB2312" w:cs="FangSong_GB2312"/>
          <w:sz w:val="32"/>
          <w:szCs w:val="32"/>
        </w:rPr>
        <w:t>辆，其中：一般公务用车</w:t>
      </w:r>
      <w:r>
        <w:rPr>
          <w:rFonts w:hint="eastAsia" w:ascii="FangSong_GB2312" w:hAnsi="FangSong_GB2312" w:eastAsia="FangSong_GB2312" w:cs="FangSong_GB2312"/>
          <w:sz w:val="32"/>
          <w:szCs w:val="32"/>
          <w:lang w:val="en-US" w:eastAsia="zh-CN"/>
        </w:rPr>
        <w:t>0</w:t>
      </w:r>
      <w:r>
        <w:rPr>
          <w:rFonts w:ascii="FangSong_GB2312" w:hAnsi="FangSong_GB2312" w:eastAsia="FangSong_GB2312" w:cs="FangSong_GB2312"/>
          <w:sz w:val="32"/>
          <w:szCs w:val="32"/>
        </w:rPr>
        <w:t>辆、执法执勤用车</w:t>
      </w:r>
      <w:r>
        <w:rPr>
          <w:rFonts w:hint="eastAsia" w:ascii="FangSong_GB2312" w:hAnsi="FangSong_GB2312" w:eastAsia="FangSong_GB2312" w:cs="FangSong_GB2312"/>
          <w:sz w:val="32"/>
          <w:szCs w:val="32"/>
          <w:lang w:val="en-US" w:eastAsia="zh-CN"/>
        </w:rPr>
        <w:t>0</w:t>
      </w:r>
      <w:r>
        <w:rPr>
          <w:rFonts w:ascii="FangSong_GB2312" w:hAnsi="FangSong_GB2312" w:eastAsia="FangSong_GB2312" w:cs="FangSong_GB2312"/>
          <w:sz w:val="32"/>
          <w:szCs w:val="32"/>
        </w:rPr>
        <w:t>辆、特种专业技术用车</w:t>
      </w:r>
      <w:r>
        <w:rPr>
          <w:rFonts w:hint="eastAsia" w:ascii="FangSong_GB2312" w:hAnsi="FangSong_GB2312" w:eastAsia="FangSong_GB2312" w:cs="FangSong_GB2312"/>
          <w:sz w:val="32"/>
          <w:szCs w:val="32"/>
          <w:lang w:val="en-US" w:eastAsia="zh-CN"/>
        </w:rPr>
        <w:t>0</w:t>
      </w:r>
      <w:r>
        <w:rPr>
          <w:rFonts w:ascii="FangSong_GB2312" w:hAnsi="FangSong_GB2312" w:eastAsia="FangSong_GB2312" w:cs="FangSong_GB2312"/>
          <w:sz w:val="32"/>
          <w:szCs w:val="32"/>
        </w:rPr>
        <w:t>辆和其他用车</w:t>
      </w:r>
      <w:r>
        <w:rPr>
          <w:rFonts w:hint="eastAsia" w:ascii="FangSong_GB2312" w:hAnsi="FangSong_GB2312" w:eastAsia="FangSong_GB2312" w:cs="FangSong_GB2312"/>
          <w:sz w:val="32"/>
          <w:szCs w:val="32"/>
          <w:lang w:val="en-US" w:eastAsia="zh-CN"/>
        </w:rPr>
        <w:t>0</w:t>
      </w:r>
      <w:r>
        <w:rPr>
          <w:rFonts w:ascii="FangSong_GB2312" w:hAnsi="FangSong_GB2312" w:eastAsia="FangSong_GB2312" w:cs="FangSong_GB2312"/>
          <w:sz w:val="32"/>
          <w:szCs w:val="32"/>
        </w:rPr>
        <w:t>辆。单位价值50万元以上通用设备</w:t>
      </w:r>
      <w:r>
        <w:rPr>
          <w:rFonts w:hint="eastAsia" w:ascii="FangSong_GB2312" w:hAnsi="FangSong_GB2312" w:eastAsia="FangSong_GB2312" w:cs="FangSong_GB2312"/>
          <w:sz w:val="32"/>
          <w:szCs w:val="32"/>
          <w:lang w:val="en-US" w:eastAsia="zh-CN"/>
        </w:rPr>
        <w:t>0</w:t>
      </w:r>
      <w:r>
        <w:rPr>
          <w:rFonts w:ascii="FangSong_GB2312" w:hAnsi="FangSong_GB2312" w:eastAsia="FangSong_GB2312" w:cs="FangSong_GB2312"/>
          <w:sz w:val="32"/>
          <w:szCs w:val="32"/>
        </w:rPr>
        <w:t>台（套），单位价值100万元以上专用设备</w:t>
      </w:r>
      <w:r>
        <w:rPr>
          <w:rFonts w:hint="eastAsia" w:ascii="FangSong_GB2312" w:hAnsi="FangSong_GB2312" w:eastAsia="FangSong_GB2312" w:cs="FangSong_GB2312"/>
          <w:sz w:val="32"/>
          <w:szCs w:val="32"/>
          <w:lang w:val="en-US" w:eastAsia="zh-CN"/>
        </w:rPr>
        <w:t>0</w:t>
      </w:r>
      <w:r>
        <w:rPr>
          <w:rFonts w:ascii="FangSong_GB2312" w:hAnsi="FangSong_GB2312" w:eastAsia="FangSong_GB2312" w:cs="FangSong_GB2312"/>
          <w:sz w:val="32"/>
          <w:szCs w:val="32"/>
        </w:rPr>
        <w:t>台（套）。</w:t>
      </w:r>
    </w:p>
    <w:p>
      <w:pPr>
        <w:pStyle w:val="24"/>
        <w:spacing w:before="0" w:after="0" w:line="600" w:lineRule="atLeast"/>
        <w:ind w:left="0" w:right="0" w:firstLine="640"/>
        <w:jc w:val="both"/>
        <w:rPr>
          <w:rFonts w:ascii="FangSong_GB2312" w:hAnsi="FangSong_GB2312" w:eastAsia="FangSong_GB2312" w:cs="FangSong_GB2312"/>
          <w:color w:val="333333"/>
          <w:sz w:val="32"/>
          <w:szCs w:val="32"/>
        </w:rPr>
      </w:pPr>
      <w:r>
        <w:rPr>
          <w:rFonts w:ascii="FangSong_GB2312" w:hAnsi="FangSong_GB2312" w:eastAsia="FangSong_GB2312" w:cs="FangSong_GB2312"/>
          <w:color w:val="333333"/>
          <w:sz w:val="32"/>
          <w:szCs w:val="32"/>
        </w:rPr>
        <w:t>2024年部门预算未安排购置车辆、单位价值50万元以上通用设备及单位价值100万元以上专用设备</w:t>
      </w:r>
    </w:p>
    <w:p>
      <w:pPr>
        <w:pStyle w:val="24"/>
        <w:spacing w:before="0" w:after="0" w:line="600" w:lineRule="atLeast"/>
        <w:ind w:left="0" w:right="0" w:firstLine="640"/>
        <w:jc w:val="both"/>
        <w:rPr>
          <w:rFonts w:ascii="FangSong_GB2312" w:hAnsi="FangSong_GB2312" w:eastAsia="FangSong_GB2312" w:cs="FangSong_GB2312"/>
          <w:b/>
          <w:bCs/>
          <w:sz w:val="32"/>
          <w:szCs w:val="32"/>
        </w:rPr>
      </w:pPr>
      <w:r>
        <w:rPr>
          <w:rFonts w:ascii="FangSong_GB2312" w:hAnsi="FangSong_GB2312" w:eastAsia="FangSong_GB2312" w:cs="FangSong_GB2312"/>
          <w:b/>
          <w:bCs/>
          <w:sz w:val="32"/>
          <w:szCs w:val="32"/>
        </w:rPr>
        <w:t>4.预算绩效情况说明（详见表11）</w:t>
      </w:r>
    </w:p>
    <w:p>
      <w:pPr>
        <w:pStyle w:val="24"/>
        <w:spacing w:before="0" w:after="0" w:line="600" w:lineRule="atLeast"/>
        <w:ind w:left="0" w:right="0" w:firstLine="640"/>
        <w:jc w:val="both"/>
        <w:rPr>
          <w:rFonts w:ascii="FangSong_GB2312" w:hAnsi="FangSong_GB2312" w:eastAsia="FangSong_GB2312" w:cs="FangSong_GB2312"/>
          <w:sz w:val="32"/>
          <w:szCs w:val="32"/>
        </w:rPr>
      </w:pPr>
      <w:r>
        <w:rPr>
          <w:rStyle w:val="16"/>
          <w:sz w:val="32"/>
          <w:szCs w:val="32"/>
        </w:rPr>
        <w:t>2024</w:t>
      </w:r>
      <w:r>
        <w:rPr>
          <w:rFonts w:ascii="FangSong_GB2312" w:hAnsi="FangSong_GB2312" w:eastAsia="FangSong_GB2312" w:cs="FangSong_GB2312"/>
          <w:sz w:val="32"/>
          <w:szCs w:val="32"/>
        </w:rPr>
        <w:t>年本部门其他运转类项目和特定目标类项目均实行绩效目标管理，涉及当年财政拨款</w:t>
      </w:r>
      <w:r>
        <w:rPr>
          <w:rStyle w:val="16"/>
          <w:sz w:val="32"/>
          <w:szCs w:val="32"/>
        </w:rPr>
        <w:t>4,605.00</w:t>
      </w:r>
      <w:r>
        <w:rPr>
          <w:rFonts w:ascii="FangSong_GB2312" w:hAnsi="FangSong_GB2312" w:eastAsia="FangSong_GB2312" w:cs="FangSong_GB2312"/>
          <w:sz w:val="32"/>
          <w:szCs w:val="32"/>
        </w:rPr>
        <w:t>万元，一级项目</w:t>
      </w:r>
      <w:r>
        <w:rPr>
          <w:rStyle w:val="16"/>
          <w:sz w:val="32"/>
          <w:szCs w:val="32"/>
        </w:rPr>
        <w:t>3</w:t>
      </w:r>
      <w:r>
        <w:rPr>
          <w:rFonts w:ascii="FangSong_GB2312" w:hAnsi="FangSong_GB2312" w:eastAsia="FangSong_GB2312" w:cs="FangSong_GB2312"/>
          <w:sz w:val="32"/>
          <w:szCs w:val="32"/>
        </w:rPr>
        <w:t>个。同时，将按照相关制度规定开展绩效自评。</w:t>
      </w:r>
    </w:p>
    <w:p>
      <w:pPr>
        <w:pStyle w:val="23"/>
        <w:pBdr>
          <w:top w:val="none" w:color="auto" w:sz="0" w:space="0"/>
          <w:left w:val="none" w:color="auto" w:sz="0" w:space="0"/>
          <w:bottom w:val="none" w:color="auto" w:sz="0" w:space="0"/>
          <w:right w:val="none" w:color="auto" w:sz="0" w:space="0"/>
        </w:pBdr>
        <w:spacing w:before="0" w:after="0"/>
        <w:ind w:left="0" w:right="0"/>
        <w:jc w:val="left"/>
        <w:rPr>
          <w:rFonts w:ascii="黑体" w:hAnsi="黑体" w:eastAsia="黑体" w:cs="黑体"/>
          <w:sz w:val="32"/>
          <w:szCs w:val="32"/>
        </w:rPr>
      </w:pPr>
      <w:r>
        <w:t>三、名词解释</w:t>
      </w:r>
    </w:p>
    <w:p>
      <w:pPr>
        <w:pStyle w:val="24"/>
        <w:spacing w:before="0" w:after="0" w:line="600" w:lineRule="atLeast"/>
        <w:ind w:left="0" w:right="0" w:firstLine="640"/>
        <w:jc w:val="both"/>
        <w:rPr>
          <w:rFonts w:ascii="FangSong_GB2312" w:hAnsi="FangSong_GB2312" w:eastAsia="FangSong_GB2312" w:cs="FangSong_GB2312"/>
          <w:sz w:val="32"/>
          <w:szCs w:val="32"/>
        </w:rPr>
      </w:pPr>
      <w:r>
        <w:rPr>
          <w:rFonts w:ascii="FangSong_GB2312" w:hAnsi="FangSong_GB2312" w:eastAsia="FangSong_GB2312" w:cs="FangSong_GB2312"/>
          <w:sz w:val="32"/>
          <w:szCs w:val="32"/>
        </w:rPr>
        <w:t>1.财政拨款收入：本级财政部门当年拨付的财政预算资金，包括一般公共预算财政拨款、政府性基金预算和国有资本经营预算财政拨款。</w:t>
      </w:r>
    </w:p>
    <w:p>
      <w:pPr>
        <w:pStyle w:val="24"/>
        <w:spacing w:before="0" w:after="0" w:line="600" w:lineRule="atLeast"/>
        <w:ind w:left="0" w:right="0" w:firstLine="640"/>
        <w:jc w:val="both"/>
        <w:rPr>
          <w:rFonts w:ascii="FangSong_GB2312" w:hAnsi="FangSong_GB2312" w:eastAsia="FangSong_GB2312" w:cs="FangSong_GB2312"/>
          <w:sz w:val="32"/>
          <w:szCs w:val="32"/>
        </w:rPr>
      </w:pPr>
      <w:r>
        <w:rPr>
          <w:rFonts w:ascii="FangSong_GB2312" w:hAnsi="FangSong_GB2312" w:eastAsia="FangSong_GB2312" w:cs="FangSong_GB2312"/>
          <w:sz w:val="32"/>
          <w:szCs w:val="32"/>
        </w:rPr>
        <w:t>2.财政专户管理资金:教育收费作为本部门的事业收入，纳入财政专户管理的资金。</w:t>
      </w:r>
    </w:p>
    <w:p>
      <w:pPr>
        <w:pStyle w:val="24"/>
        <w:spacing w:before="0" w:after="0" w:line="600" w:lineRule="atLeast"/>
        <w:ind w:left="0" w:right="0" w:firstLine="640"/>
        <w:jc w:val="both"/>
        <w:rPr>
          <w:rFonts w:ascii="FangSong_GB2312" w:hAnsi="FangSong_GB2312" w:eastAsia="FangSong_GB2312" w:cs="FangSong_GB2312"/>
          <w:sz w:val="32"/>
          <w:szCs w:val="32"/>
        </w:rPr>
      </w:pPr>
      <w:r>
        <w:rPr>
          <w:rFonts w:ascii="FangSong_GB2312" w:hAnsi="FangSong_GB2312" w:eastAsia="FangSong_GB2312" w:cs="FangSong_GB2312"/>
          <w:sz w:val="32"/>
          <w:szCs w:val="32"/>
        </w:rPr>
        <w:t>3.事业收入：事业单位开展专业业务活动及辅助活动所取得的收入，不含专户资金收入。</w:t>
      </w:r>
    </w:p>
    <w:p>
      <w:pPr>
        <w:pStyle w:val="24"/>
        <w:spacing w:before="0" w:after="0" w:line="600" w:lineRule="atLeast"/>
        <w:ind w:left="0" w:right="0" w:firstLine="640"/>
        <w:jc w:val="both"/>
        <w:rPr>
          <w:rFonts w:ascii="FangSong_GB2312" w:hAnsi="FangSong_GB2312" w:eastAsia="FangSong_GB2312" w:cs="FangSong_GB2312"/>
          <w:sz w:val="32"/>
          <w:szCs w:val="32"/>
        </w:rPr>
      </w:pPr>
      <w:r>
        <w:rPr>
          <w:rFonts w:ascii="FangSong_GB2312" w:hAnsi="FangSong_GB2312" w:eastAsia="FangSong_GB2312" w:cs="FangSong_GB2312"/>
          <w:sz w:val="32"/>
          <w:szCs w:val="32"/>
        </w:rPr>
        <w:t>4.事业单位经营收入：事业单位在专业业务活动及辅助活动之外开展非独立核算经营活动取得的收入。</w:t>
      </w:r>
    </w:p>
    <w:p>
      <w:pPr>
        <w:pStyle w:val="24"/>
        <w:spacing w:before="0" w:after="0" w:line="600" w:lineRule="atLeast"/>
        <w:ind w:left="0" w:right="0" w:firstLine="640"/>
        <w:jc w:val="both"/>
        <w:rPr>
          <w:rFonts w:ascii="FangSong_GB2312" w:hAnsi="FangSong_GB2312" w:eastAsia="FangSong_GB2312" w:cs="FangSong_GB2312"/>
          <w:sz w:val="32"/>
          <w:szCs w:val="32"/>
        </w:rPr>
      </w:pPr>
      <w:r>
        <w:rPr>
          <w:rFonts w:ascii="FangSong_GB2312" w:hAnsi="FangSong_GB2312" w:eastAsia="FangSong_GB2312" w:cs="FangSong_GB2312"/>
          <w:sz w:val="32"/>
          <w:szCs w:val="32"/>
        </w:rPr>
        <w:t>5.其他收入：预算单位在“一般公共预算”“政府性基金”“专户资金”“事业收入”“事业单位经营收入”等之外取得的各项收入（含上级补助收入和附属单位缴款等收入）。</w:t>
      </w:r>
    </w:p>
    <w:p>
      <w:pPr>
        <w:pStyle w:val="24"/>
        <w:spacing w:before="0" w:after="0" w:line="600" w:lineRule="atLeast"/>
        <w:ind w:left="0" w:right="0" w:firstLine="640"/>
        <w:jc w:val="both"/>
        <w:rPr>
          <w:rFonts w:ascii="FangSong_GB2312" w:hAnsi="FangSong_GB2312" w:eastAsia="FangSong_GB2312" w:cs="FangSong_GB2312"/>
          <w:sz w:val="32"/>
          <w:szCs w:val="32"/>
        </w:rPr>
      </w:pPr>
      <w:r>
        <w:rPr>
          <w:rFonts w:ascii="FangSong_GB2312" w:hAnsi="FangSong_GB2312" w:eastAsia="FangSong_GB2312" w:cs="FangSong_GB2312"/>
          <w:sz w:val="32"/>
          <w:szCs w:val="32"/>
        </w:rPr>
        <w:t>6.上年结转：指以前年度尚未完成、结转到本年仍按原规定用途继续使用的资金。</w:t>
      </w:r>
    </w:p>
    <w:p>
      <w:pPr>
        <w:pStyle w:val="24"/>
        <w:spacing w:before="0" w:after="0" w:line="600" w:lineRule="atLeast"/>
        <w:ind w:left="0" w:right="0" w:firstLine="640"/>
        <w:jc w:val="both"/>
        <w:rPr>
          <w:rFonts w:ascii="FangSong_GB2312" w:hAnsi="FangSong_GB2312" w:eastAsia="FangSong_GB2312" w:cs="FangSong_GB2312"/>
          <w:sz w:val="32"/>
          <w:szCs w:val="32"/>
        </w:rPr>
      </w:pPr>
      <w:r>
        <w:rPr>
          <w:rFonts w:ascii="FangSong_GB2312" w:hAnsi="FangSong_GB2312" w:eastAsia="FangSong_GB2312" w:cs="FangSong_GB2312"/>
          <w:sz w:val="32"/>
          <w:szCs w:val="32"/>
        </w:rPr>
        <w:t>7.基本支出：是预算单位为保障其正常运转，完成日常工作任务所发生的支出，包括人员支出和日常公用支出。</w:t>
      </w:r>
    </w:p>
    <w:p>
      <w:pPr>
        <w:pStyle w:val="24"/>
        <w:spacing w:before="0" w:after="0" w:line="600" w:lineRule="atLeast"/>
        <w:ind w:left="0" w:right="0" w:firstLine="640"/>
        <w:jc w:val="both"/>
        <w:rPr>
          <w:rFonts w:ascii="FangSong_GB2312" w:hAnsi="FangSong_GB2312" w:eastAsia="FangSong_GB2312" w:cs="FangSong_GB2312"/>
          <w:sz w:val="32"/>
          <w:szCs w:val="32"/>
        </w:rPr>
      </w:pPr>
      <w:r>
        <w:rPr>
          <w:rFonts w:ascii="FangSong_GB2312" w:hAnsi="FangSong_GB2312" w:eastAsia="FangSong_GB2312" w:cs="FangSong_GB2312"/>
          <w:sz w:val="32"/>
          <w:szCs w:val="32"/>
        </w:rPr>
        <w:t>8.项目支出：是预算单位为完成其特定的行政工作任务或事业发展目标所发生的支出。</w:t>
      </w:r>
    </w:p>
    <w:p>
      <w:pPr>
        <w:pStyle w:val="24"/>
        <w:spacing w:before="0" w:after="0" w:line="600" w:lineRule="atLeast"/>
        <w:ind w:left="0" w:right="0" w:firstLine="640"/>
        <w:jc w:val="both"/>
        <w:rPr>
          <w:rFonts w:ascii="FangSong_GB2312" w:hAnsi="FangSong_GB2312" w:eastAsia="FangSong_GB2312" w:cs="FangSong_GB2312"/>
          <w:sz w:val="32"/>
          <w:szCs w:val="32"/>
        </w:rPr>
      </w:pPr>
      <w:r>
        <w:rPr>
          <w:rFonts w:ascii="FangSong_GB2312" w:hAnsi="FangSong_GB2312" w:eastAsia="FangSong_GB2312" w:cs="FangSong_GB2312"/>
          <w:sz w:val="32"/>
          <w:szCs w:val="32"/>
        </w:rPr>
        <w:t>9.经营支出：指事业单位在专业业务活动及其辅助活动之外开展非独立核算经营活动发生的支出。</w:t>
      </w:r>
    </w:p>
    <w:p>
      <w:pPr>
        <w:pStyle w:val="24"/>
        <w:spacing w:before="0" w:after="0" w:line="600" w:lineRule="atLeast"/>
        <w:ind w:left="0" w:right="0" w:firstLine="640"/>
        <w:jc w:val="both"/>
        <w:rPr>
          <w:rFonts w:ascii="FangSong_GB2312" w:hAnsi="FangSong_GB2312" w:eastAsia="FangSong_GB2312" w:cs="FangSong_GB2312"/>
          <w:sz w:val="32"/>
          <w:szCs w:val="32"/>
        </w:rPr>
      </w:pPr>
      <w:r>
        <w:rPr>
          <w:rFonts w:ascii="FangSong_GB2312" w:hAnsi="FangSong_GB2312" w:eastAsia="FangSong_GB2312" w:cs="FangSong_GB2312"/>
          <w:sz w:val="32"/>
          <w:szCs w:val="32"/>
        </w:rPr>
        <w:t>10.“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pStyle w:val="24"/>
        <w:spacing w:before="0" w:after="0" w:line="600" w:lineRule="atLeast"/>
        <w:ind w:left="0" w:right="0" w:firstLine="640"/>
        <w:jc w:val="both"/>
        <w:rPr>
          <w:rFonts w:ascii="FangSong_GB2312" w:hAnsi="FangSong_GB2312" w:eastAsia="FangSong_GB2312" w:cs="FangSong_GB2312"/>
          <w:sz w:val="32"/>
          <w:szCs w:val="32"/>
        </w:rPr>
      </w:pPr>
      <w:r>
        <w:rPr>
          <w:rFonts w:ascii="FangSong_GB2312" w:hAnsi="FangSong_GB2312" w:eastAsia="FangSong_GB2312" w:cs="FangSong_GB2312"/>
          <w:sz w:val="32"/>
          <w:szCs w:val="32"/>
        </w:rPr>
        <w:t>11.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4"/>
        <w:spacing w:before="0" w:after="0" w:line="600" w:lineRule="atLeast"/>
        <w:ind w:left="0" w:right="0" w:firstLine="640"/>
        <w:jc w:val="both"/>
        <w:rPr>
          <w:rFonts w:hint="default" w:ascii="FangSong_GB2312" w:hAnsi="FangSong_GB2312" w:eastAsia="FangSong_GB2312" w:cs="FangSong_GB2312"/>
          <w:sz w:val="32"/>
          <w:szCs w:val="32"/>
          <w:lang w:val="en-US" w:eastAsia="zh-CN"/>
        </w:rPr>
      </w:pPr>
      <w:r>
        <w:rPr>
          <w:rFonts w:hint="eastAsia" w:ascii="FangSong_GB2312" w:hAnsi="FangSong_GB2312" w:eastAsia="FangSong_GB2312" w:cs="FangSong_GB2312"/>
          <w:sz w:val="32"/>
          <w:szCs w:val="32"/>
          <w:lang w:val="en-US" w:eastAsia="zh-CN"/>
        </w:rPr>
        <w:t>12.一般公共服务支出（类）其他一般公共服务支出（款）其他一般公共服务支出（项）：反应除上述项目以外的一般公共服务支出。</w:t>
      </w:r>
    </w:p>
    <w:p>
      <w:pPr>
        <w:pStyle w:val="24"/>
        <w:spacing w:before="0" w:after="0" w:line="600" w:lineRule="atLeast"/>
        <w:ind w:left="0" w:right="0" w:firstLine="640"/>
        <w:jc w:val="both"/>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333333"/>
          <w:sz w:val="32"/>
          <w:szCs w:val="32"/>
          <w:lang w:val="en-US" w:eastAsia="zh-CN"/>
        </w:rPr>
        <w:t>13</w:t>
      </w:r>
      <w:r>
        <w:rPr>
          <w:rFonts w:ascii="FangSong_GB2312" w:hAnsi="FangSong_GB2312" w:eastAsia="FangSong_GB2312" w:cs="FangSong_GB2312"/>
          <w:color w:val="333333"/>
          <w:sz w:val="32"/>
          <w:szCs w:val="32"/>
        </w:rPr>
        <w:t>.社会保障和就业支出（类）行政事业单位养老支出（款）行政单位离退休（项）：反映行政单位（包括实行公务员管理的事业单位）开支的离退休经费。</w:t>
      </w:r>
      <w:r>
        <w:rPr>
          <w:rFonts w:hint="eastAsia" w:ascii="FangSong_GB2312" w:hAnsi="FangSong_GB2312" w:eastAsia="FangSong_GB2312" w:cs="FangSong_GB2312"/>
          <w:color w:val="333333"/>
          <w:sz w:val="32"/>
          <w:szCs w:val="32"/>
        </w:rPr>
        <w:br w:type="textWrapping"/>
      </w:r>
      <w:r>
        <w:rPr>
          <w:rFonts w:hint="eastAsia" w:ascii="FangSong_GB2312" w:hAnsi="FangSong_GB2312" w:eastAsia="FangSong_GB2312" w:cs="FangSong_GB2312"/>
          <w:color w:val="333333"/>
          <w:sz w:val="32"/>
          <w:szCs w:val="32"/>
          <w:lang w:val="en-US" w:eastAsia="zh-CN"/>
        </w:rPr>
        <w:t xml:space="preserve">    14</w:t>
      </w:r>
      <w:r>
        <w:rPr>
          <w:rFonts w:hint="eastAsia" w:ascii="FangSong_GB2312" w:hAnsi="FangSong_GB2312" w:eastAsia="FangSong_GB2312" w:cs="FangSong_GB2312"/>
          <w:color w:val="333333"/>
          <w:sz w:val="32"/>
          <w:szCs w:val="32"/>
        </w:rPr>
        <w:t>.社会保障和就业支出（类）行政事业单位养老支出（款）事业单位离退休（项）：反映事业单位开支的离退休经费。</w:t>
      </w:r>
      <w:r>
        <w:rPr>
          <w:rFonts w:hint="eastAsia" w:ascii="FangSong_GB2312" w:hAnsi="FangSong_GB2312" w:eastAsia="FangSong_GB2312" w:cs="FangSong_GB2312"/>
          <w:color w:val="333333"/>
          <w:sz w:val="32"/>
          <w:szCs w:val="32"/>
        </w:rPr>
        <w:br w:type="textWrapping"/>
      </w:r>
      <w:r>
        <w:rPr>
          <w:rFonts w:hint="eastAsia" w:ascii="FangSong_GB2312" w:hAnsi="FangSong_GB2312" w:eastAsia="FangSong_GB2312" w:cs="FangSong_GB2312"/>
          <w:color w:val="333333"/>
          <w:sz w:val="32"/>
          <w:szCs w:val="32"/>
          <w:lang w:val="en-US" w:eastAsia="zh-CN"/>
        </w:rPr>
        <w:t xml:space="preserve">    15</w:t>
      </w:r>
      <w:r>
        <w:rPr>
          <w:rFonts w:hint="eastAsia" w:ascii="FangSong_GB2312" w:hAnsi="FangSong_GB2312" w:eastAsia="FangSong_GB2312" w:cs="FangSong_GB2312"/>
          <w:color w:val="333333"/>
          <w:sz w:val="32"/>
          <w:szCs w:val="32"/>
        </w:rPr>
        <w:t>.社会保障和就业支出（类）行政事业单位养老支出（款）机关事业单位基本养老保险缴费支出（项）：反映机关事业单位实施养老保险制度由单位缴纳的基本养老保险费支出。</w:t>
      </w:r>
      <w:r>
        <w:rPr>
          <w:rFonts w:hint="eastAsia" w:ascii="FangSong_GB2312" w:hAnsi="FangSong_GB2312" w:eastAsia="FangSong_GB2312" w:cs="FangSong_GB2312"/>
          <w:color w:val="333333"/>
          <w:sz w:val="32"/>
          <w:szCs w:val="32"/>
        </w:rPr>
        <w:br w:type="textWrapping"/>
      </w:r>
      <w:r>
        <w:rPr>
          <w:rFonts w:hint="eastAsia" w:ascii="FangSong_GB2312" w:hAnsi="FangSong_GB2312" w:eastAsia="FangSong_GB2312" w:cs="FangSong_GB2312"/>
          <w:color w:val="333333"/>
          <w:sz w:val="32"/>
          <w:szCs w:val="32"/>
          <w:lang w:val="en-US" w:eastAsia="zh-CN"/>
        </w:rPr>
        <w:t xml:space="preserve">    16</w:t>
      </w:r>
      <w:r>
        <w:rPr>
          <w:rFonts w:hint="eastAsia" w:ascii="FangSong_GB2312" w:hAnsi="FangSong_GB2312" w:eastAsia="FangSong_GB2312" w:cs="FangSong_GB2312"/>
          <w:color w:val="333333"/>
          <w:sz w:val="32"/>
          <w:szCs w:val="32"/>
        </w:rPr>
        <w:t>.社会保障和就业支出（类）行政事业单位养老支出（款）机关事业单位职业年金缴费支出（项）：反映机关事业单位实施养老保险制度由单位实际缴纳的职业年金支出。</w:t>
      </w:r>
      <w:r>
        <w:rPr>
          <w:rFonts w:hint="eastAsia" w:ascii="FangSong_GB2312" w:hAnsi="FangSong_GB2312" w:eastAsia="FangSong_GB2312" w:cs="FangSong_GB2312"/>
          <w:color w:val="333333"/>
          <w:sz w:val="32"/>
          <w:szCs w:val="32"/>
        </w:rPr>
        <w:br w:type="textWrapping"/>
      </w:r>
      <w:r>
        <w:rPr>
          <w:rFonts w:hint="eastAsia" w:ascii="FangSong_GB2312" w:hAnsi="FangSong_GB2312" w:eastAsia="FangSong_GB2312" w:cs="FangSong_GB2312"/>
          <w:color w:val="333333"/>
          <w:sz w:val="32"/>
          <w:szCs w:val="32"/>
          <w:lang w:val="en-US" w:eastAsia="zh-CN"/>
        </w:rPr>
        <w:t xml:space="preserve">    17</w:t>
      </w:r>
      <w:r>
        <w:rPr>
          <w:rFonts w:hint="eastAsia" w:ascii="FangSong_GB2312" w:hAnsi="FangSong_GB2312" w:eastAsia="FangSong_GB2312" w:cs="FangSong_GB2312"/>
          <w:color w:val="333333"/>
          <w:sz w:val="32"/>
          <w:szCs w:val="32"/>
        </w:rPr>
        <w:t>.卫生健康支出（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r>
        <w:rPr>
          <w:rFonts w:hint="eastAsia" w:ascii="FangSong_GB2312" w:hAnsi="FangSong_GB2312" w:eastAsia="FangSong_GB2312" w:cs="FangSong_GB2312"/>
          <w:color w:val="333333"/>
          <w:sz w:val="32"/>
          <w:szCs w:val="32"/>
        </w:rPr>
        <w:br w:type="textWrapping"/>
      </w:r>
      <w:r>
        <w:rPr>
          <w:rFonts w:hint="eastAsia" w:ascii="FangSong_GB2312" w:hAnsi="FangSong_GB2312" w:eastAsia="FangSong_GB2312" w:cs="FangSong_GB2312"/>
          <w:color w:val="333333"/>
          <w:sz w:val="32"/>
          <w:szCs w:val="32"/>
          <w:lang w:val="en-US" w:eastAsia="zh-CN"/>
        </w:rPr>
        <w:t xml:space="preserve">    18</w:t>
      </w:r>
      <w:r>
        <w:rPr>
          <w:rFonts w:hint="eastAsia" w:ascii="FangSong_GB2312" w:hAnsi="FangSong_GB2312" w:eastAsia="FangSong_GB2312" w:cs="FangSong_GB2312"/>
          <w:color w:val="333333"/>
          <w:sz w:val="32"/>
          <w:szCs w:val="32"/>
        </w:rPr>
        <w:t>.卫生健康支出（类）行政事业单位医疗（款）事业单位医疗（项）</w:t>
      </w:r>
      <w:r>
        <w:rPr>
          <w:rFonts w:hint="eastAsia" w:ascii="FangSong_GB2312" w:hAnsi="FangSong_GB2312" w:eastAsia="FangSong_GB2312" w:cs="FangSong_GB2312"/>
          <w:color w:val="auto"/>
          <w:sz w:val="32"/>
          <w:szCs w:val="32"/>
          <w:highlight w:val="none"/>
          <w:lang w:eastAsia="zh-CN"/>
        </w:rPr>
        <w:t>：</w:t>
      </w:r>
      <w:r>
        <w:rPr>
          <w:rFonts w:hint="eastAsia" w:ascii="FangSong_GB2312" w:hAnsi="FangSong_GB2312" w:eastAsia="FangSong_GB2312" w:cs="FangSong_GB2312"/>
          <w:color w:val="auto"/>
          <w:sz w:val="32"/>
          <w:szCs w:val="32"/>
          <w:highlight w:val="none"/>
          <w:lang w:val="en-US" w:eastAsia="zh-CN"/>
        </w:rPr>
        <w:t>指反应财政部门安排的行政单位（含实行公务员管理的事业单位）基本医疗保险缴费经费，未参加医疗保险的行政单位的公费医疗经费，按国家规定享受离休人员、红军老战士待遇人员的医疗经费</w:t>
      </w:r>
      <w:r>
        <w:rPr>
          <w:rFonts w:ascii="FangSong_GB2312" w:hAnsi="FangSong_GB2312" w:eastAsia="FangSong_GB2312" w:cs="FangSong_GB2312"/>
          <w:color w:val="auto"/>
          <w:sz w:val="32"/>
          <w:szCs w:val="32"/>
          <w:highlight w:val="none"/>
        </w:rPr>
        <w:t>。</w:t>
      </w:r>
    </w:p>
    <w:p>
      <w:pPr>
        <w:pStyle w:val="24"/>
        <w:spacing w:before="0" w:after="0" w:line="600" w:lineRule="atLeast"/>
        <w:ind w:left="0" w:right="0" w:firstLine="640"/>
        <w:jc w:val="both"/>
        <w:rPr>
          <w:rFonts w:hint="default" w:ascii="FangSong_GB2312" w:hAnsi="FangSong_GB2312" w:eastAsia="FangSong_GB2312" w:cs="FangSong_GB2312"/>
          <w:color w:val="auto"/>
          <w:sz w:val="36"/>
          <w:szCs w:val="36"/>
          <w:highlight w:val="none"/>
          <w:lang w:val="en-US" w:eastAsia="zh-CN"/>
        </w:rPr>
      </w:pPr>
      <w:r>
        <w:rPr>
          <w:rFonts w:hint="eastAsia" w:ascii="FangSong_GB2312" w:hAnsi="FangSong_GB2312" w:eastAsia="FangSong_GB2312" w:cs="FangSong_GB2312"/>
          <w:color w:val="auto"/>
          <w:sz w:val="32"/>
          <w:szCs w:val="32"/>
          <w:highlight w:val="none"/>
          <w:lang w:val="en-US" w:eastAsia="zh-CN"/>
        </w:rPr>
        <w:t>19.援助其他地区支出（类）其他支出（款）其他支出（项）：反应援助其他地区资金中除上述项目以外的支出。</w:t>
      </w:r>
    </w:p>
    <w:p>
      <w:pPr>
        <w:pStyle w:val="23"/>
        <w:pBdr>
          <w:top w:val="none" w:color="auto" w:sz="0" w:space="0"/>
          <w:left w:val="none" w:color="auto" w:sz="0" w:space="0"/>
          <w:bottom w:val="none" w:color="auto" w:sz="0" w:space="0"/>
          <w:right w:val="none" w:color="auto" w:sz="0" w:space="0"/>
        </w:pBdr>
        <w:spacing w:before="0" w:after="0"/>
        <w:ind w:left="0" w:right="0"/>
        <w:jc w:val="left"/>
        <w:rPr>
          <w:rFonts w:ascii="黑体" w:hAnsi="黑体" w:eastAsia="黑体" w:cs="黑体"/>
          <w:sz w:val="32"/>
          <w:szCs w:val="32"/>
        </w:rPr>
      </w:pPr>
      <w:r>
        <w:t>四、2024年杭州市对口支援和区域合作局预算公开表</w:t>
      </w:r>
    </w:p>
    <w:p>
      <w:pPr>
        <w:pStyle w:val="24"/>
        <w:spacing w:before="0" w:after="0" w:line="600" w:lineRule="atLeast"/>
        <w:ind w:left="0" w:right="0" w:firstLine="640"/>
        <w:jc w:val="both"/>
        <w:rPr>
          <w:rFonts w:ascii="FangSong_GB2312" w:hAnsi="FangSong_GB2312" w:eastAsia="FangSong_GB2312" w:cs="FangSong_GB2312"/>
          <w:sz w:val="32"/>
          <w:szCs w:val="32"/>
        </w:rPr>
      </w:pPr>
      <w:r>
        <w:rPr>
          <w:rFonts w:ascii="FangSong_GB2312" w:hAnsi="FangSong_GB2312" w:eastAsia="FangSong_GB2312" w:cs="FangSong_GB2312"/>
          <w:sz w:val="32"/>
          <w:szCs w:val="32"/>
        </w:rPr>
        <w:t>表1.</w:t>
      </w:r>
      <w:r>
        <w:rPr>
          <w:rStyle w:val="16"/>
          <w:sz w:val="32"/>
          <w:szCs w:val="32"/>
        </w:rPr>
        <w:t xml:space="preserve"> 2024</w:t>
      </w:r>
      <w:r>
        <w:rPr>
          <w:rFonts w:ascii="FangSong_GB2312" w:hAnsi="FangSong_GB2312" w:eastAsia="FangSong_GB2312" w:cs="FangSong_GB2312"/>
          <w:sz w:val="32"/>
          <w:szCs w:val="32"/>
        </w:rPr>
        <w:t>年市级部门收支预算总表</w:t>
      </w:r>
    </w:p>
    <w:p>
      <w:pPr>
        <w:pStyle w:val="24"/>
        <w:spacing w:before="0" w:after="0" w:line="600" w:lineRule="atLeast"/>
        <w:ind w:left="0" w:right="0" w:firstLine="640"/>
        <w:jc w:val="both"/>
        <w:rPr>
          <w:rFonts w:ascii="FangSong_GB2312" w:hAnsi="FangSong_GB2312" w:eastAsia="FangSong_GB2312" w:cs="FangSong_GB2312"/>
          <w:sz w:val="32"/>
          <w:szCs w:val="32"/>
        </w:rPr>
      </w:pPr>
      <w:r>
        <w:rPr>
          <w:rFonts w:ascii="FangSong_GB2312" w:hAnsi="FangSong_GB2312" w:eastAsia="FangSong_GB2312" w:cs="FangSong_GB2312"/>
          <w:sz w:val="32"/>
          <w:szCs w:val="32"/>
        </w:rPr>
        <w:t>表2.</w:t>
      </w:r>
      <w:r>
        <w:rPr>
          <w:rStyle w:val="16"/>
          <w:sz w:val="32"/>
          <w:szCs w:val="32"/>
        </w:rPr>
        <w:t xml:space="preserve"> 2024</w:t>
      </w:r>
      <w:r>
        <w:rPr>
          <w:rFonts w:ascii="FangSong_GB2312" w:hAnsi="FangSong_GB2312" w:eastAsia="FangSong_GB2312" w:cs="FangSong_GB2312"/>
          <w:sz w:val="32"/>
          <w:szCs w:val="32"/>
        </w:rPr>
        <w:t>年市级部门收入预算总表</w:t>
      </w:r>
    </w:p>
    <w:p>
      <w:pPr>
        <w:pStyle w:val="24"/>
        <w:spacing w:before="0" w:after="0" w:line="600" w:lineRule="atLeast"/>
        <w:ind w:left="0" w:right="0" w:firstLine="640"/>
        <w:jc w:val="both"/>
        <w:rPr>
          <w:rFonts w:ascii="FangSong_GB2312" w:hAnsi="FangSong_GB2312" w:eastAsia="FangSong_GB2312" w:cs="FangSong_GB2312"/>
          <w:sz w:val="32"/>
          <w:szCs w:val="32"/>
        </w:rPr>
      </w:pPr>
      <w:r>
        <w:rPr>
          <w:rFonts w:ascii="FangSong_GB2312" w:hAnsi="FangSong_GB2312" w:eastAsia="FangSong_GB2312" w:cs="FangSong_GB2312"/>
          <w:sz w:val="32"/>
          <w:szCs w:val="32"/>
        </w:rPr>
        <w:t>表3.</w:t>
      </w:r>
      <w:r>
        <w:rPr>
          <w:rStyle w:val="16"/>
          <w:sz w:val="32"/>
          <w:szCs w:val="32"/>
        </w:rPr>
        <w:t xml:space="preserve"> 2024</w:t>
      </w:r>
      <w:r>
        <w:rPr>
          <w:rFonts w:ascii="FangSong_GB2312" w:hAnsi="FangSong_GB2312" w:eastAsia="FangSong_GB2312" w:cs="FangSong_GB2312"/>
          <w:sz w:val="32"/>
          <w:szCs w:val="32"/>
        </w:rPr>
        <w:t>年市级部门支出预算总表</w:t>
      </w:r>
    </w:p>
    <w:p>
      <w:pPr>
        <w:pStyle w:val="24"/>
        <w:spacing w:before="0" w:after="0" w:line="600" w:lineRule="atLeast"/>
        <w:ind w:left="0" w:right="0" w:firstLine="640"/>
        <w:jc w:val="both"/>
        <w:rPr>
          <w:rFonts w:ascii="FangSong_GB2312" w:hAnsi="FangSong_GB2312" w:eastAsia="FangSong_GB2312" w:cs="FangSong_GB2312"/>
          <w:sz w:val="32"/>
          <w:szCs w:val="32"/>
        </w:rPr>
      </w:pPr>
      <w:r>
        <w:rPr>
          <w:rFonts w:ascii="FangSong_GB2312" w:hAnsi="FangSong_GB2312" w:eastAsia="FangSong_GB2312" w:cs="FangSong_GB2312"/>
          <w:sz w:val="32"/>
          <w:szCs w:val="32"/>
        </w:rPr>
        <w:t>表4.</w:t>
      </w:r>
      <w:r>
        <w:rPr>
          <w:rStyle w:val="16"/>
          <w:sz w:val="32"/>
          <w:szCs w:val="32"/>
        </w:rPr>
        <w:t xml:space="preserve"> 2024</w:t>
      </w:r>
      <w:r>
        <w:rPr>
          <w:rFonts w:ascii="FangSong_GB2312" w:hAnsi="FangSong_GB2312" w:eastAsia="FangSong_GB2312" w:cs="FangSong_GB2312"/>
          <w:sz w:val="32"/>
          <w:szCs w:val="32"/>
        </w:rPr>
        <w:t>年市级部门财政拨款收支预算总表</w:t>
      </w:r>
    </w:p>
    <w:p>
      <w:pPr>
        <w:pStyle w:val="24"/>
        <w:spacing w:before="0" w:after="0" w:line="600" w:lineRule="atLeast"/>
        <w:ind w:left="0" w:right="0" w:firstLine="640"/>
        <w:jc w:val="both"/>
        <w:rPr>
          <w:rFonts w:ascii="FangSong_GB2312" w:hAnsi="FangSong_GB2312" w:eastAsia="FangSong_GB2312" w:cs="FangSong_GB2312"/>
          <w:sz w:val="32"/>
          <w:szCs w:val="32"/>
        </w:rPr>
      </w:pPr>
      <w:r>
        <w:rPr>
          <w:rFonts w:ascii="FangSong_GB2312" w:hAnsi="FangSong_GB2312" w:eastAsia="FangSong_GB2312" w:cs="FangSong_GB2312"/>
          <w:sz w:val="32"/>
          <w:szCs w:val="32"/>
        </w:rPr>
        <w:t>表5.</w:t>
      </w:r>
      <w:r>
        <w:rPr>
          <w:rStyle w:val="16"/>
          <w:sz w:val="32"/>
          <w:szCs w:val="32"/>
        </w:rPr>
        <w:t xml:space="preserve"> 2024</w:t>
      </w:r>
      <w:r>
        <w:rPr>
          <w:rFonts w:ascii="FangSong_GB2312" w:hAnsi="FangSong_GB2312" w:eastAsia="FangSong_GB2312" w:cs="FangSong_GB2312"/>
          <w:sz w:val="32"/>
          <w:szCs w:val="32"/>
        </w:rPr>
        <w:t>年市级部门一般公共预算支出预算表</w:t>
      </w:r>
    </w:p>
    <w:p>
      <w:pPr>
        <w:pStyle w:val="24"/>
        <w:spacing w:before="0" w:after="0" w:line="600" w:lineRule="atLeast"/>
        <w:ind w:left="0" w:right="0" w:firstLine="640"/>
        <w:jc w:val="both"/>
        <w:rPr>
          <w:rFonts w:ascii="FangSong_GB2312" w:hAnsi="FangSong_GB2312" w:eastAsia="FangSong_GB2312" w:cs="FangSong_GB2312"/>
          <w:sz w:val="32"/>
          <w:szCs w:val="32"/>
        </w:rPr>
      </w:pPr>
      <w:r>
        <w:rPr>
          <w:rFonts w:ascii="FangSong_GB2312" w:hAnsi="FangSong_GB2312" w:eastAsia="FangSong_GB2312" w:cs="FangSong_GB2312"/>
          <w:sz w:val="32"/>
          <w:szCs w:val="32"/>
        </w:rPr>
        <w:t>表6.</w:t>
      </w:r>
      <w:r>
        <w:rPr>
          <w:rStyle w:val="16"/>
          <w:sz w:val="32"/>
          <w:szCs w:val="32"/>
        </w:rPr>
        <w:t xml:space="preserve"> 2024</w:t>
      </w:r>
      <w:r>
        <w:rPr>
          <w:rFonts w:ascii="FangSong_GB2312" w:hAnsi="FangSong_GB2312" w:eastAsia="FangSong_GB2312" w:cs="FangSong_GB2312"/>
          <w:sz w:val="32"/>
          <w:szCs w:val="32"/>
        </w:rPr>
        <w:t>年市级部门一般公共预算基本支出预算表</w:t>
      </w:r>
    </w:p>
    <w:p>
      <w:pPr>
        <w:pStyle w:val="24"/>
        <w:spacing w:before="0" w:after="0" w:line="600" w:lineRule="atLeast"/>
        <w:ind w:left="0" w:right="0" w:firstLine="640"/>
        <w:jc w:val="both"/>
        <w:rPr>
          <w:rFonts w:ascii="FangSong_GB2312" w:hAnsi="FangSong_GB2312" w:eastAsia="FangSong_GB2312" w:cs="FangSong_GB2312"/>
          <w:sz w:val="32"/>
          <w:szCs w:val="32"/>
        </w:rPr>
      </w:pPr>
      <w:r>
        <w:rPr>
          <w:rFonts w:ascii="FangSong_GB2312" w:hAnsi="FangSong_GB2312" w:eastAsia="FangSong_GB2312" w:cs="FangSong_GB2312"/>
          <w:sz w:val="32"/>
          <w:szCs w:val="32"/>
        </w:rPr>
        <w:t>表7.</w:t>
      </w:r>
      <w:r>
        <w:rPr>
          <w:rStyle w:val="16"/>
          <w:sz w:val="32"/>
          <w:szCs w:val="32"/>
        </w:rPr>
        <w:t xml:space="preserve"> 2024</w:t>
      </w:r>
      <w:r>
        <w:rPr>
          <w:rFonts w:ascii="FangSong_GB2312" w:hAnsi="FangSong_GB2312" w:eastAsia="FangSong_GB2312" w:cs="FangSong_GB2312"/>
          <w:sz w:val="32"/>
          <w:szCs w:val="32"/>
        </w:rPr>
        <w:t>年市级部门一般公共预算“三公”经费预算表</w:t>
      </w:r>
    </w:p>
    <w:p>
      <w:pPr>
        <w:pStyle w:val="24"/>
        <w:spacing w:before="0" w:after="0" w:line="600" w:lineRule="atLeast"/>
        <w:ind w:left="0" w:right="0" w:firstLine="640"/>
        <w:jc w:val="both"/>
        <w:rPr>
          <w:rFonts w:ascii="FangSong_GB2312" w:hAnsi="FangSong_GB2312" w:eastAsia="FangSong_GB2312" w:cs="FangSong_GB2312"/>
          <w:sz w:val="32"/>
          <w:szCs w:val="32"/>
        </w:rPr>
      </w:pPr>
      <w:r>
        <w:rPr>
          <w:rFonts w:ascii="FangSong_GB2312" w:hAnsi="FangSong_GB2312" w:eastAsia="FangSong_GB2312" w:cs="FangSong_GB2312"/>
          <w:sz w:val="32"/>
          <w:szCs w:val="32"/>
        </w:rPr>
        <w:t>表8.</w:t>
      </w:r>
      <w:r>
        <w:rPr>
          <w:rStyle w:val="16"/>
          <w:sz w:val="32"/>
          <w:szCs w:val="32"/>
        </w:rPr>
        <w:t xml:space="preserve"> 2024</w:t>
      </w:r>
      <w:r>
        <w:rPr>
          <w:rFonts w:ascii="FangSong_GB2312" w:hAnsi="FangSong_GB2312" w:eastAsia="FangSong_GB2312" w:cs="FangSong_GB2312"/>
          <w:sz w:val="32"/>
          <w:szCs w:val="32"/>
        </w:rPr>
        <w:t>年市级部门政府性基金预算支出预算表</w:t>
      </w:r>
    </w:p>
    <w:p>
      <w:pPr>
        <w:pStyle w:val="24"/>
        <w:spacing w:before="0" w:after="0" w:line="600" w:lineRule="atLeast"/>
        <w:ind w:left="0" w:right="0" w:firstLine="640"/>
        <w:jc w:val="both"/>
        <w:rPr>
          <w:rFonts w:ascii="FangSong_GB2312" w:hAnsi="FangSong_GB2312" w:eastAsia="FangSong_GB2312" w:cs="FangSong_GB2312"/>
          <w:sz w:val="32"/>
          <w:szCs w:val="32"/>
        </w:rPr>
      </w:pPr>
      <w:r>
        <w:rPr>
          <w:rFonts w:ascii="FangSong_GB2312" w:hAnsi="FangSong_GB2312" w:eastAsia="FangSong_GB2312" w:cs="FangSong_GB2312"/>
          <w:sz w:val="32"/>
          <w:szCs w:val="32"/>
        </w:rPr>
        <w:t>表9.</w:t>
      </w:r>
      <w:r>
        <w:rPr>
          <w:rStyle w:val="16"/>
          <w:sz w:val="32"/>
          <w:szCs w:val="32"/>
        </w:rPr>
        <w:t xml:space="preserve"> 2024</w:t>
      </w:r>
      <w:r>
        <w:rPr>
          <w:rFonts w:ascii="FangSong_GB2312" w:hAnsi="FangSong_GB2312" w:eastAsia="FangSong_GB2312" w:cs="FangSong_GB2312"/>
          <w:sz w:val="32"/>
          <w:szCs w:val="32"/>
        </w:rPr>
        <w:t>年市级部门国有资本经营预算支出预算表</w:t>
      </w:r>
    </w:p>
    <w:p>
      <w:pPr>
        <w:pStyle w:val="24"/>
        <w:spacing w:before="0" w:after="0" w:line="600" w:lineRule="atLeast"/>
        <w:ind w:left="0" w:right="0" w:firstLine="640"/>
        <w:jc w:val="both"/>
        <w:rPr>
          <w:rFonts w:ascii="FangSong_GB2312" w:hAnsi="FangSong_GB2312" w:eastAsia="FangSong_GB2312" w:cs="FangSong_GB2312"/>
          <w:sz w:val="32"/>
          <w:szCs w:val="32"/>
        </w:rPr>
      </w:pPr>
      <w:r>
        <w:rPr>
          <w:rFonts w:ascii="FangSong_GB2312" w:hAnsi="FangSong_GB2312" w:eastAsia="FangSong_GB2312" w:cs="FangSong_GB2312"/>
          <w:sz w:val="32"/>
          <w:szCs w:val="32"/>
        </w:rPr>
        <w:t>表10.</w:t>
      </w:r>
      <w:r>
        <w:rPr>
          <w:rStyle w:val="16"/>
          <w:sz w:val="32"/>
          <w:szCs w:val="32"/>
        </w:rPr>
        <w:t xml:space="preserve"> 2024</w:t>
      </w:r>
      <w:r>
        <w:rPr>
          <w:rFonts w:ascii="FangSong_GB2312" w:hAnsi="FangSong_GB2312" w:eastAsia="FangSong_GB2312" w:cs="FangSong_GB2312"/>
          <w:sz w:val="32"/>
          <w:szCs w:val="32"/>
        </w:rPr>
        <w:t>年市级部门项目支出预算表</w:t>
      </w:r>
    </w:p>
    <w:p>
      <w:pPr>
        <w:pStyle w:val="24"/>
        <w:spacing w:before="0" w:after="0" w:line="600" w:lineRule="atLeast"/>
        <w:ind w:left="0" w:right="0" w:firstLine="640"/>
        <w:jc w:val="both"/>
        <w:rPr>
          <w:rFonts w:ascii="FangSong_GB2312" w:hAnsi="FangSong_GB2312" w:eastAsia="FangSong_GB2312" w:cs="FangSong_GB2312"/>
          <w:sz w:val="32"/>
          <w:szCs w:val="32"/>
        </w:rPr>
      </w:pPr>
      <w:r>
        <w:rPr>
          <w:rFonts w:ascii="FangSong_GB2312" w:hAnsi="FangSong_GB2312" w:eastAsia="FangSong_GB2312" w:cs="FangSong_GB2312"/>
          <w:sz w:val="32"/>
          <w:szCs w:val="32"/>
        </w:rPr>
        <w:t>表11.</w:t>
      </w:r>
      <w:r>
        <w:rPr>
          <w:rStyle w:val="16"/>
          <w:sz w:val="32"/>
          <w:szCs w:val="32"/>
        </w:rPr>
        <w:t xml:space="preserve"> 2024</w:t>
      </w:r>
      <w:r>
        <w:rPr>
          <w:rFonts w:ascii="FangSong_GB2312" w:hAnsi="FangSong_GB2312" w:eastAsia="FangSong_GB2312" w:cs="FangSong_GB2312"/>
          <w:sz w:val="32"/>
          <w:szCs w:val="32"/>
        </w:rPr>
        <w:t>年市级部门项目支出绩效表</w:t>
      </w: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tbl>
      <w:tblPr>
        <w:tblStyle w:val="11"/>
        <w:tblW w:w="89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76"/>
        <w:gridCol w:w="1016"/>
        <w:gridCol w:w="1547"/>
        <w:gridCol w:w="1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999" w:type="dxa"/>
            <w:gridSpan w:val="4"/>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表1： 2024年市级部门收支预算总表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999" w:type="dxa"/>
            <w:gridSpan w:val="4"/>
            <w:vMerge w:val="continue"/>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527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部门名称：杭州市对口支援和区域合作局</w:t>
            </w:r>
          </w:p>
        </w:tc>
        <w:tc>
          <w:tcPr>
            <w:tcW w:w="1016"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2707" w:type="dxa"/>
            <w:gridSpan w:val="2"/>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2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27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出（按支出功能分）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5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一、财政拨款收入</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5,429.14</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5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其中：一般公共预算</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5,429.14</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5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5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援助其他地区支出</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5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二、财政专户管理资金</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5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三、事业收入（不含专户资金）</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5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四、事业单位经营收入</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5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五、上级补助收入</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5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六、附属单位上缴收入</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5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七、其他收入</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5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5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5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5,489.14</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5,489.14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5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上年结转结余</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年终结转结余</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5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收入总计</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5,489.14</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支出总计</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5,489.14</w:t>
            </w:r>
          </w:p>
        </w:tc>
      </w:tr>
    </w:tbl>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tbl>
      <w:tblPr>
        <w:tblStyle w:val="11"/>
        <w:tblW w:w="89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6"/>
        <w:gridCol w:w="1097"/>
        <w:gridCol w:w="1020"/>
        <w:gridCol w:w="1115"/>
        <w:gridCol w:w="299"/>
        <w:gridCol w:w="299"/>
        <w:gridCol w:w="299"/>
        <w:gridCol w:w="384"/>
        <w:gridCol w:w="299"/>
        <w:gridCol w:w="299"/>
        <w:gridCol w:w="324"/>
        <w:gridCol w:w="797"/>
        <w:gridCol w:w="308"/>
        <w:gridCol w:w="309"/>
        <w:gridCol w:w="326"/>
        <w:gridCol w:w="325"/>
        <w:gridCol w:w="288"/>
        <w:gridCol w:w="3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8955" w:type="dxa"/>
            <w:gridSpan w:val="18"/>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表2： 2024年市级部门收入预算总表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8955" w:type="dxa"/>
            <w:gridSpan w:val="18"/>
            <w:vMerge w:val="continue"/>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5618" w:type="dxa"/>
            <w:gridSpan w:val="9"/>
            <w:tcBorders>
              <w:top w:val="nil"/>
              <w:left w:val="nil"/>
              <w:bottom w:val="nil"/>
              <w:right w:val="nil"/>
            </w:tcBorders>
            <w:shd w:val="clear" w:color="auto" w:fill="auto"/>
            <w:vAlign w:val="center"/>
          </w:tcPr>
          <w:p>
            <w:pPr>
              <w:rPr>
                <w:rFonts w:hint="default" w:ascii="Times New Roman" w:hAnsi="Times New Roman" w:cs="Times New Roman"/>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部门名称：杭州市对口支援和区域合作局</w:t>
            </w:r>
          </w:p>
        </w:tc>
        <w:tc>
          <w:tcPr>
            <w:tcW w:w="299" w:type="dxa"/>
            <w:tcBorders>
              <w:top w:val="nil"/>
              <w:left w:val="nil"/>
              <w:bottom w:val="nil"/>
              <w:right w:val="nil"/>
            </w:tcBorders>
            <w:shd w:val="clear" w:color="auto" w:fill="auto"/>
            <w:vAlign w:val="center"/>
          </w:tcPr>
          <w:p>
            <w:pPr>
              <w:rPr>
                <w:rFonts w:hint="default" w:ascii="Times New Roman" w:hAnsi="Times New Roman" w:cs="Times New Roman"/>
                <w:i w:val="0"/>
                <w:iCs w:val="0"/>
                <w:color w:val="000000"/>
                <w:sz w:val="20"/>
                <w:szCs w:val="20"/>
                <w:u w:val="none"/>
              </w:rPr>
            </w:pPr>
          </w:p>
        </w:tc>
        <w:tc>
          <w:tcPr>
            <w:tcW w:w="324" w:type="dxa"/>
            <w:tcBorders>
              <w:top w:val="nil"/>
              <w:left w:val="nil"/>
              <w:bottom w:val="nil"/>
              <w:right w:val="nil"/>
            </w:tcBorders>
            <w:shd w:val="clear" w:color="auto" w:fill="auto"/>
            <w:vAlign w:val="center"/>
          </w:tcPr>
          <w:p>
            <w:pPr>
              <w:rPr>
                <w:rFonts w:hint="default" w:ascii="Times New Roman" w:hAnsi="Times New Roman" w:cs="Times New Roman"/>
                <w:i w:val="0"/>
                <w:iCs w:val="0"/>
                <w:color w:val="000000"/>
                <w:sz w:val="20"/>
                <w:szCs w:val="20"/>
                <w:u w:val="none"/>
              </w:rPr>
            </w:pPr>
          </w:p>
        </w:tc>
        <w:tc>
          <w:tcPr>
            <w:tcW w:w="2714" w:type="dxa"/>
            <w:gridSpan w:val="7"/>
            <w:tcBorders>
              <w:top w:val="nil"/>
              <w:left w:val="nil"/>
              <w:bottom w:val="nil"/>
              <w:right w:val="nil"/>
            </w:tcBorders>
            <w:shd w:val="clear" w:color="auto" w:fill="auto"/>
            <w:vAlign w:val="center"/>
          </w:tcPr>
          <w:p>
            <w:pPr>
              <w:keepNext w:val="0"/>
              <w:keepLines w:val="0"/>
              <w:widowControl/>
              <w:suppressLineNumbers w:val="0"/>
              <w:jc w:val="right"/>
              <w:textAlignment w:val="bottom"/>
              <w:rPr>
                <w:rFonts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8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0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513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191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8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w:t>
            </w:r>
          </w:p>
        </w:tc>
        <w:tc>
          <w:tcPr>
            <w:tcW w:w="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财政专户管理资金</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事业收入（不含专户资金）</w:t>
            </w:r>
          </w:p>
        </w:tc>
        <w:tc>
          <w:tcPr>
            <w:tcW w:w="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事业单位经营收入</w:t>
            </w:r>
          </w:p>
        </w:tc>
        <w:tc>
          <w:tcPr>
            <w:tcW w:w="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c>
          <w:tcPr>
            <w:tcW w:w="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w:t>
            </w: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财政专户管理资金</w:t>
            </w:r>
          </w:p>
        </w:tc>
        <w:tc>
          <w:tcPr>
            <w:tcW w:w="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收入合计</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5,489.14</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5,489.14</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5,429.14</w:t>
            </w:r>
          </w:p>
        </w:tc>
        <w:tc>
          <w:tcPr>
            <w:tcW w:w="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w:t>
            </w:r>
          </w:p>
        </w:tc>
        <w:tc>
          <w:tcPr>
            <w:tcW w:w="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0"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杭州市对口支援和区域合作局</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5,489.14</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5,489.14</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5,429.14</w:t>
            </w:r>
          </w:p>
        </w:tc>
        <w:tc>
          <w:tcPr>
            <w:tcW w:w="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w:t>
            </w:r>
          </w:p>
        </w:tc>
        <w:tc>
          <w:tcPr>
            <w:tcW w:w="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bl>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tbl>
      <w:tblPr>
        <w:tblStyle w:val="11"/>
        <w:tblW w:w="88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287"/>
        <w:gridCol w:w="1016"/>
        <w:gridCol w:w="1016"/>
        <w:gridCol w:w="1096"/>
        <w:gridCol w:w="1016"/>
        <w:gridCol w:w="478"/>
        <w:gridCol w:w="460"/>
        <w:gridCol w:w="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8856" w:type="dxa"/>
            <w:gridSpan w:val="8"/>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表3： 2024年市级部门支出预算总表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8856" w:type="dxa"/>
            <w:gridSpan w:val="8"/>
            <w:vMerge w:val="continue"/>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5319" w:type="dxa"/>
            <w:gridSpan w:val="3"/>
            <w:tcBorders>
              <w:top w:val="nil"/>
              <w:left w:val="nil"/>
              <w:bottom w:val="nil"/>
              <w:right w:val="nil"/>
            </w:tcBorders>
            <w:shd w:val="clear" w:color="auto" w:fill="auto"/>
            <w:vAlign w:val="center"/>
          </w:tcPr>
          <w:p>
            <w:pPr>
              <w:rPr>
                <w:rFonts w:hint="default" w:ascii="Times New Roman" w:hAnsi="Times New Roman" w:cs="Times New Roman"/>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部门名称：杭州市对口支援和区域合作局</w:t>
            </w:r>
          </w:p>
        </w:tc>
        <w:tc>
          <w:tcPr>
            <w:tcW w:w="1096" w:type="dxa"/>
            <w:tcBorders>
              <w:top w:val="nil"/>
              <w:left w:val="nil"/>
              <w:bottom w:val="nil"/>
              <w:right w:val="nil"/>
            </w:tcBorders>
            <w:shd w:val="clear" w:color="auto" w:fill="auto"/>
            <w:vAlign w:val="center"/>
          </w:tcPr>
          <w:p>
            <w:pPr>
              <w:rPr>
                <w:rFonts w:hint="default" w:ascii="Times New Roman" w:hAnsi="Times New Roman" w:cs="Times New Roman"/>
                <w:i w:val="0"/>
                <w:iCs w:val="0"/>
                <w:color w:val="000000"/>
                <w:sz w:val="20"/>
                <w:szCs w:val="20"/>
                <w:u w:val="none"/>
              </w:rPr>
            </w:pPr>
          </w:p>
        </w:tc>
        <w:tc>
          <w:tcPr>
            <w:tcW w:w="2441" w:type="dxa"/>
            <w:gridSpan w:val="4"/>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32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w:t>
            </w:r>
          </w:p>
        </w:tc>
        <w:tc>
          <w:tcPr>
            <w:tcW w:w="1016" w:type="dxa"/>
            <w:vMerge w:val="restart"/>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01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47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事业单位经营支出</w:t>
            </w:r>
          </w:p>
        </w:tc>
        <w:tc>
          <w:tcPr>
            <w:tcW w:w="46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48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3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公用经费</w:t>
            </w:r>
          </w:p>
        </w:tc>
        <w:tc>
          <w:tcPr>
            <w:tcW w:w="101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32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支出合计</w:t>
            </w:r>
          </w:p>
        </w:tc>
        <w:tc>
          <w:tcPr>
            <w:tcW w:w="10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5,489.14</w:t>
            </w:r>
          </w:p>
        </w:tc>
        <w:tc>
          <w:tcPr>
            <w:tcW w:w="10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688.68</w:t>
            </w:r>
          </w:p>
        </w:tc>
        <w:tc>
          <w:tcPr>
            <w:tcW w:w="109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135.46</w:t>
            </w:r>
          </w:p>
        </w:tc>
        <w:tc>
          <w:tcPr>
            <w:tcW w:w="10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4,665.00</w:t>
            </w:r>
          </w:p>
        </w:tc>
        <w:tc>
          <w:tcPr>
            <w:tcW w:w="47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32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10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1,137.11</w:t>
            </w:r>
          </w:p>
        </w:tc>
        <w:tc>
          <w:tcPr>
            <w:tcW w:w="10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567.65</w:t>
            </w:r>
          </w:p>
        </w:tc>
        <w:tc>
          <w:tcPr>
            <w:tcW w:w="109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135.46</w:t>
            </w:r>
          </w:p>
        </w:tc>
        <w:tc>
          <w:tcPr>
            <w:tcW w:w="10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434.00</w:t>
            </w:r>
          </w:p>
        </w:tc>
        <w:tc>
          <w:tcPr>
            <w:tcW w:w="47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32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其他一般公共服务支出</w:t>
            </w:r>
          </w:p>
        </w:tc>
        <w:tc>
          <w:tcPr>
            <w:tcW w:w="10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1,137.11</w:t>
            </w:r>
          </w:p>
        </w:tc>
        <w:tc>
          <w:tcPr>
            <w:tcW w:w="10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567.65</w:t>
            </w:r>
          </w:p>
        </w:tc>
        <w:tc>
          <w:tcPr>
            <w:tcW w:w="109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135.46</w:t>
            </w:r>
          </w:p>
        </w:tc>
        <w:tc>
          <w:tcPr>
            <w:tcW w:w="10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434.00</w:t>
            </w:r>
          </w:p>
        </w:tc>
        <w:tc>
          <w:tcPr>
            <w:tcW w:w="47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32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其他一般公共服务支出</w:t>
            </w:r>
          </w:p>
        </w:tc>
        <w:tc>
          <w:tcPr>
            <w:tcW w:w="10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1,137.11</w:t>
            </w:r>
          </w:p>
        </w:tc>
        <w:tc>
          <w:tcPr>
            <w:tcW w:w="10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567.65</w:t>
            </w:r>
          </w:p>
        </w:tc>
        <w:tc>
          <w:tcPr>
            <w:tcW w:w="109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135.46</w:t>
            </w:r>
          </w:p>
        </w:tc>
        <w:tc>
          <w:tcPr>
            <w:tcW w:w="10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434.00</w:t>
            </w:r>
          </w:p>
        </w:tc>
        <w:tc>
          <w:tcPr>
            <w:tcW w:w="47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32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0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88.65</w:t>
            </w:r>
          </w:p>
        </w:tc>
        <w:tc>
          <w:tcPr>
            <w:tcW w:w="10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88.65</w:t>
            </w:r>
          </w:p>
        </w:tc>
        <w:tc>
          <w:tcPr>
            <w:tcW w:w="109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7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32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行政事业单位养老支出</w:t>
            </w:r>
          </w:p>
        </w:tc>
        <w:tc>
          <w:tcPr>
            <w:tcW w:w="10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88.65</w:t>
            </w:r>
          </w:p>
        </w:tc>
        <w:tc>
          <w:tcPr>
            <w:tcW w:w="10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88.65</w:t>
            </w:r>
          </w:p>
        </w:tc>
        <w:tc>
          <w:tcPr>
            <w:tcW w:w="109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7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32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行政单位离退休</w:t>
            </w:r>
          </w:p>
        </w:tc>
        <w:tc>
          <w:tcPr>
            <w:tcW w:w="10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6.85</w:t>
            </w:r>
          </w:p>
        </w:tc>
        <w:tc>
          <w:tcPr>
            <w:tcW w:w="10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6.85</w:t>
            </w:r>
          </w:p>
        </w:tc>
        <w:tc>
          <w:tcPr>
            <w:tcW w:w="109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7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32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10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54.53</w:t>
            </w:r>
          </w:p>
        </w:tc>
        <w:tc>
          <w:tcPr>
            <w:tcW w:w="10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54.53</w:t>
            </w:r>
          </w:p>
        </w:tc>
        <w:tc>
          <w:tcPr>
            <w:tcW w:w="109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7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32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机关事业单位职业年金缴费支出</w:t>
            </w:r>
          </w:p>
        </w:tc>
        <w:tc>
          <w:tcPr>
            <w:tcW w:w="10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27.27</w:t>
            </w:r>
          </w:p>
        </w:tc>
        <w:tc>
          <w:tcPr>
            <w:tcW w:w="10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27.27</w:t>
            </w:r>
          </w:p>
        </w:tc>
        <w:tc>
          <w:tcPr>
            <w:tcW w:w="109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7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32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10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32.38</w:t>
            </w:r>
          </w:p>
        </w:tc>
        <w:tc>
          <w:tcPr>
            <w:tcW w:w="10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32.38</w:t>
            </w:r>
          </w:p>
        </w:tc>
        <w:tc>
          <w:tcPr>
            <w:tcW w:w="109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7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32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行政事业单位医疗</w:t>
            </w:r>
          </w:p>
        </w:tc>
        <w:tc>
          <w:tcPr>
            <w:tcW w:w="10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32.38</w:t>
            </w:r>
          </w:p>
        </w:tc>
        <w:tc>
          <w:tcPr>
            <w:tcW w:w="10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32.38</w:t>
            </w:r>
          </w:p>
        </w:tc>
        <w:tc>
          <w:tcPr>
            <w:tcW w:w="109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7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32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行政单位医疗</w:t>
            </w:r>
          </w:p>
        </w:tc>
        <w:tc>
          <w:tcPr>
            <w:tcW w:w="10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32.38</w:t>
            </w:r>
          </w:p>
        </w:tc>
        <w:tc>
          <w:tcPr>
            <w:tcW w:w="10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32.38</w:t>
            </w:r>
          </w:p>
        </w:tc>
        <w:tc>
          <w:tcPr>
            <w:tcW w:w="109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7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32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援助其他地区支出</w:t>
            </w:r>
          </w:p>
        </w:tc>
        <w:tc>
          <w:tcPr>
            <w:tcW w:w="10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4,231.00</w:t>
            </w:r>
          </w:p>
        </w:tc>
        <w:tc>
          <w:tcPr>
            <w:tcW w:w="10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9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4,231.00</w:t>
            </w:r>
          </w:p>
        </w:tc>
        <w:tc>
          <w:tcPr>
            <w:tcW w:w="47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32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10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4,231.00</w:t>
            </w:r>
          </w:p>
        </w:tc>
        <w:tc>
          <w:tcPr>
            <w:tcW w:w="10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9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4,231.00</w:t>
            </w:r>
          </w:p>
        </w:tc>
        <w:tc>
          <w:tcPr>
            <w:tcW w:w="47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bl>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tbl>
      <w:tblPr>
        <w:tblStyle w:val="11"/>
        <w:tblW w:w="8942" w:type="dxa"/>
        <w:tblInd w:w="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322"/>
        <w:gridCol w:w="2031"/>
        <w:gridCol w:w="2194"/>
        <w:gridCol w:w="13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8942" w:type="dxa"/>
            <w:gridSpan w:val="4"/>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表4： 2024年市级部门财政拨款收支预算总表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8942" w:type="dxa"/>
            <w:gridSpan w:val="4"/>
            <w:vMerge w:val="continue"/>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353" w:type="dxa"/>
            <w:gridSpan w:val="2"/>
            <w:tcBorders>
              <w:top w:val="nil"/>
              <w:left w:val="nil"/>
              <w:bottom w:val="nil"/>
              <w:right w:val="nil"/>
            </w:tcBorders>
            <w:shd w:val="clear" w:color="auto" w:fill="auto"/>
            <w:vAlign w:val="center"/>
          </w:tcPr>
          <w:p>
            <w:pPr>
              <w:rPr>
                <w:rFonts w:hint="eastAsia" w:ascii="Calibri" w:hAnsi="Calibri" w:cs="Calibri"/>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部门名称：杭州市对口支援和区域合作局</w:t>
            </w:r>
          </w:p>
        </w:tc>
        <w:tc>
          <w:tcPr>
            <w:tcW w:w="2194" w:type="dxa"/>
            <w:tcBorders>
              <w:top w:val="nil"/>
              <w:left w:val="nil"/>
              <w:bottom w:val="nil"/>
              <w:right w:val="nil"/>
            </w:tcBorders>
            <w:shd w:val="clear" w:color="auto" w:fill="auto"/>
            <w:vAlign w:val="bottom"/>
          </w:tcPr>
          <w:p>
            <w:pPr>
              <w:rPr>
                <w:rFonts w:hint="default" w:ascii="Calibri" w:hAnsi="Calibri" w:cs="Calibri"/>
                <w:i w:val="0"/>
                <w:iCs w:val="0"/>
                <w:color w:val="000000"/>
                <w:sz w:val="22"/>
                <w:szCs w:val="22"/>
                <w:u w:val="none"/>
              </w:rPr>
            </w:pPr>
          </w:p>
        </w:tc>
        <w:tc>
          <w:tcPr>
            <w:tcW w:w="1395"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3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w:t>
            </w:r>
            <w:r>
              <w:rPr>
                <w:rStyle w:val="27"/>
                <w:rFonts w:eastAsia="宋体"/>
                <w:lang w:val="en-US" w:eastAsia="zh-CN" w:bidi="ar"/>
              </w:rPr>
              <w:t xml:space="preserve">      </w:t>
            </w:r>
            <w:r>
              <w:rPr>
                <w:rStyle w:val="28"/>
                <w:lang w:val="en-US" w:eastAsia="zh-CN" w:bidi="ar"/>
              </w:rPr>
              <w:t>入</w:t>
            </w:r>
          </w:p>
        </w:tc>
        <w:tc>
          <w:tcPr>
            <w:tcW w:w="35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r>
              <w:rPr>
                <w:rStyle w:val="27"/>
                <w:rFonts w:eastAsia="宋体"/>
                <w:lang w:val="en-US" w:eastAsia="zh-CN" w:bidi="ar"/>
              </w:rPr>
              <w:t xml:space="preserve">      </w:t>
            </w:r>
            <w:r>
              <w:rPr>
                <w:rStyle w:val="28"/>
                <w:lang w:val="en-US" w:eastAsia="zh-CN" w:bidi="ar"/>
              </w:rPr>
              <w:t>出（按支出功能分）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一、本年财政拨款收入</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5,429.14</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一、本年支出合计</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5,429.14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其中：一般公共预算</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5,429.14</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援助其他地区支出</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二、上年结转</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二、年终结转结余</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收入总计</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5,429.14</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支出总计</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5,429.14</w:t>
            </w:r>
          </w:p>
        </w:tc>
      </w:tr>
    </w:tbl>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tbl>
      <w:tblPr>
        <w:tblStyle w:val="11"/>
        <w:tblW w:w="88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050"/>
        <w:gridCol w:w="1016"/>
        <w:gridCol w:w="926"/>
        <w:gridCol w:w="923"/>
        <w:gridCol w:w="923"/>
        <w:gridCol w:w="10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8856" w:type="dxa"/>
            <w:gridSpan w:val="6"/>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表5： 2024年市级部门一般公共预算支出预算表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8856" w:type="dxa"/>
            <w:gridSpan w:val="6"/>
            <w:vMerge w:val="continue"/>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992" w:type="dxa"/>
            <w:gridSpan w:val="3"/>
            <w:tcBorders>
              <w:top w:val="nil"/>
              <w:left w:val="nil"/>
              <w:bottom w:val="nil"/>
              <w:right w:val="nil"/>
            </w:tcBorders>
            <w:shd w:val="clear" w:color="auto" w:fill="auto"/>
            <w:vAlign w:val="center"/>
          </w:tcPr>
          <w:p>
            <w:pPr>
              <w:rPr>
                <w:rFonts w:hint="default" w:ascii="Times New Roman" w:hAnsi="Times New Roman" w:cs="Times New Roman"/>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部门名称：杭州市对口支援和区域合作局</w:t>
            </w:r>
          </w:p>
        </w:tc>
        <w:tc>
          <w:tcPr>
            <w:tcW w:w="923" w:type="dxa"/>
            <w:tcBorders>
              <w:top w:val="nil"/>
              <w:left w:val="nil"/>
              <w:bottom w:val="nil"/>
              <w:right w:val="nil"/>
            </w:tcBorders>
            <w:shd w:val="clear" w:color="auto" w:fill="auto"/>
            <w:vAlign w:val="center"/>
          </w:tcPr>
          <w:p>
            <w:pPr>
              <w:rPr>
                <w:rFonts w:hint="default" w:ascii="Times New Roman" w:hAnsi="Times New Roman" w:cs="Times New Roman"/>
                <w:i w:val="0"/>
                <w:iCs w:val="0"/>
                <w:color w:val="000000"/>
                <w:sz w:val="20"/>
                <w:szCs w:val="20"/>
                <w:u w:val="none"/>
              </w:rPr>
            </w:pPr>
          </w:p>
        </w:tc>
        <w:tc>
          <w:tcPr>
            <w:tcW w:w="1941" w:type="dxa"/>
            <w:gridSpan w:val="2"/>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4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功能分类科目名称</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w:t>
            </w:r>
            <w:r>
              <w:rPr>
                <w:rFonts w:hint="default" w:ascii="Times New Roman" w:hAnsi="Times New Roman" w:eastAsia="宋体" w:cs="Times New Roman"/>
                <w:i w:val="0"/>
                <w:iCs w:val="0"/>
                <w:color w:val="000000"/>
                <w:kern w:val="0"/>
                <w:sz w:val="20"/>
                <w:szCs w:val="20"/>
                <w:u w:val="none"/>
                <w:lang w:val="en-US" w:eastAsia="zh-CN" w:bidi="ar"/>
              </w:rPr>
              <w:t xml:space="preserve">  </w:t>
            </w:r>
            <w:r>
              <w:rPr>
                <w:rStyle w:val="29"/>
                <w:lang w:val="en-US" w:eastAsia="zh-CN" w:bidi="ar"/>
              </w:rPr>
              <w:t>计</w:t>
            </w:r>
          </w:p>
        </w:tc>
        <w:tc>
          <w:tcPr>
            <w:tcW w:w="27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0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4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5,429.14</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824.14</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688.68</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135.46</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1,077.11</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703.11</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567.65</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135.46</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其他一般公共服务支出</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1,077.11</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703.11</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567.65</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135.46</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其他一般公共服务支出</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1,077.11</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703.11</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567.65</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135.46</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88.65</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88.65</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88.65</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行政事业单位养老支出</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88.65</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88.65</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88.65</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行政单位离退休</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6.85</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6.85</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6.85</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54.53</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54.53</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54.53</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机关事业单位职业年金缴费支出</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27.27</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27.27</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27.27</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32.38</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32.38</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32.38</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行政事业单位医疗</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32.38</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32.38</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32.38</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行政单位医疗</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32.38</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32.38</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32.38</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援助其他地区支出</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4,231.00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4,231.00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4,231.00</w:t>
            </w:r>
          </w:p>
        </w:tc>
      </w:tr>
    </w:tbl>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tbl>
      <w:tblPr>
        <w:tblStyle w:val="11"/>
        <w:tblW w:w="88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852"/>
        <w:gridCol w:w="2538"/>
        <w:gridCol w:w="1681"/>
        <w:gridCol w:w="1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 w:hRule="atLeast"/>
        </w:trPr>
        <w:tc>
          <w:tcPr>
            <w:tcW w:w="8856" w:type="dxa"/>
            <w:gridSpan w:val="4"/>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表6： 2024年市级部门一般公共预算基本支出预算表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8856" w:type="dxa"/>
            <w:gridSpan w:val="4"/>
            <w:vMerge w:val="continue"/>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trPr>
        <w:tc>
          <w:tcPr>
            <w:tcW w:w="5390" w:type="dxa"/>
            <w:gridSpan w:val="2"/>
            <w:tcBorders>
              <w:top w:val="nil"/>
              <w:left w:val="nil"/>
              <w:bottom w:val="nil"/>
              <w:right w:val="nil"/>
            </w:tcBorders>
            <w:shd w:val="clear" w:color="auto" w:fill="auto"/>
            <w:vAlign w:val="center"/>
          </w:tcPr>
          <w:p>
            <w:pPr>
              <w:rPr>
                <w:rFonts w:hint="default" w:ascii="Times New Roman" w:hAnsi="Times New Roman" w:cs="Times New Roman"/>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部门名称：杭州市对口支援和区域合作局</w:t>
            </w:r>
          </w:p>
        </w:tc>
        <w:tc>
          <w:tcPr>
            <w:tcW w:w="1681" w:type="dxa"/>
            <w:tcBorders>
              <w:top w:val="nil"/>
              <w:left w:val="nil"/>
              <w:bottom w:val="nil"/>
              <w:right w:val="nil"/>
            </w:tcBorders>
            <w:shd w:val="clear" w:color="auto" w:fill="auto"/>
            <w:vAlign w:val="center"/>
          </w:tcPr>
          <w:p>
            <w:pPr>
              <w:rPr>
                <w:rFonts w:hint="default" w:ascii="Times New Roman" w:hAnsi="Times New Roman" w:cs="Times New Roman"/>
                <w:i w:val="0"/>
                <w:iCs w:val="0"/>
                <w:color w:val="000000"/>
                <w:sz w:val="20"/>
                <w:szCs w:val="20"/>
                <w:u w:val="none"/>
              </w:rPr>
            </w:pPr>
          </w:p>
        </w:tc>
        <w:tc>
          <w:tcPr>
            <w:tcW w:w="1785"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8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经济分类科目名称</w:t>
            </w:r>
          </w:p>
        </w:tc>
        <w:tc>
          <w:tcPr>
            <w:tcW w:w="60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trPr>
        <w:tc>
          <w:tcPr>
            <w:tcW w:w="2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2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824.14</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688.68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2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681.33</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681.33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2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基本工资</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94.99</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94.99</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2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津贴补贴</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138.72</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138.72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2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奖金</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183.45</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183.45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2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54.53</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54.53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2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职业年金缴费</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27.27</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2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职工基本医疗保险缴费</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32.38</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2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其他社会保障缴费</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2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54.71</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54.71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2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2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其他工资福利支出</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87.18</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87.18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2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135.46</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2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办公费</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13.00</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2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印刷费</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2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水费</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2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电费</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6.30</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2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邮电费</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2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差旅费</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2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维修(护)费</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2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会议费</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2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公务接待费</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2.85</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2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劳务费</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2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工会经费</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9.87</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2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福利费</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25.45</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2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其他交通费用</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37.56</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2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13.43</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2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7.35</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2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退休费</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6.85</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2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其他对个人和家庭的补助</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bl>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tbl>
      <w:tblPr>
        <w:tblStyle w:val="11"/>
        <w:tblW w:w="919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16"/>
        <w:gridCol w:w="1386"/>
        <w:gridCol w:w="1532"/>
        <w:gridCol w:w="947"/>
        <w:gridCol w:w="784"/>
        <w:gridCol w:w="895"/>
        <w:gridCol w:w="15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9192" w:type="dxa"/>
            <w:gridSpan w:val="7"/>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表7： 2024年市级部门一般公共预算“三公”经费预算表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9192" w:type="dxa"/>
            <w:gridSpan w:val="7"/>
            <w:vMerge w:val="continue"/>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5981" w:type="dxa"/>
            <w:gridSpan w:val="4"/>
            <w:tcBorders>
              <w:top w:val="nil"/>
              <w:left w:val="nil"/>
              <w:bottom w:val="nil"/>
              <w:right w:val="nil"/>
            </w:tcBorders>
            <w:shd w:val="clear" w:color="auto" w:fill="auto"/>
            <w:vAlign w:val="center"/>
          </w:tcPr>
          <w:p>
            <w:pPr>
              <w:rPr>
                <w:rFonts w:hint="default" w:ascii="Calibri" w:hAnsi="Calibri" w:cs="Calibri"/>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部门名称：杭州市对口支援和区域合作局</w:t>
            </w:r>
          </w:p>
        </w:tc>
        <w:tc>
          <w:tcPr>
            <w:tcW w:w="784" w:type="dxa"/>
            <w:tcBorders>
              <w:top w:val="nil"/>
              <w:left w:val="nil"/>
              <w:bottom w:val="nil"/>
              <w:right w:val="nil"/>
            </w:tcBorders>
            <w:shd w:val="clear" w:color="auto" w:fill="auto"/>
            <w:vAlign w:val="bottom"/>
          </w:tcPr>
          <w:p>
            <w:pPr>
              <w:rPr>
                <w:rFonts w:hint="default" w:ascii="Calibri" w:hAnsi="Calibri" w:cs="Calibri"/>
                <w:i w:val="0"/>
                <w:iCs w:val="0"/>
                <w:color w:val="000000"/>
                <w:sz w:val="22"/>
                <w:szCs w:val="22"/>
                <w:u w:val="none"/>
              </w:rPr>
            </w:pPr>
          </w:p>
        </w:tc>
        <w:tc>
          <w:tcPr>
            <w:tcW w:w="895" w:type="dxa"/>
            <w:tcBorders>
              <w:top w:val="nil"/>
              <w:left w:val="nil"/>
              <w:bottom w:val="nil"/>
              <w:right w:val="nil"/>
            </w:tcBorders>
            <w:shd w:val="clear" w:color="auto" w:fill="auto"/>
            <w:vAlign w:val="bottom"/>
          </w:tcPr>
          <w:p>
            <w:pPr>
              <w:rPr>
                <w:rFonts w:hint="default" w:ascii="Calibri" w:hAnsi="Calibri" w:cs="Calibri"/>
                <w:i w:val="0"/>
                <w:iCs w:val="0"/>
                <w:color w:val="000000"/>
                <w:sz w:val="22"/>
                <w:szCs w:val="22"/>
                <w:u w:val="none"/>
              </w:rPr>
            </w:pPr>
          </w:p>
        </w:tc>
        <w:tc>
          <w:tcPr>
            <w:tcW w:w="1532"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1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“三公”经费合计</w:t>
            </w:r>
          </w:p>
        </w:tc>
        <w:tc>
          <w:tcPr>
            <w:tcW w:w="15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因公出国（境）费用</w:t>
            </w:r>
          </w:p>
        </w:tc>
        <w:tc>
          <w:tcPr>
            <w:tcW w:w="9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c>
          <w:tcPr>
            <w:tcW w:w="32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公务用车购置及运行维护费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trPr>
        <w:tc>
          <w:tcPr>
            <w:tcW w:w="2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895"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153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公务用车运行维护费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5.85</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5.85</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杭州市对口支援和区域合作局</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5.85</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5.85</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bl>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tbl>
      <w:tblPr>
        <w:tblStyle w:val="11"/>
        <w:tblW w:w="8424" w:type="dxa"/>
        <w:tblInd w:w="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76"/>
        <w:gridCol w:w="816"/>
        <w:gridCol w:w="1016"/>
        <w:gridCol w:w="13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8424" w:type="dxa"/>
            <w:gridSpan w:val="4"/>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表8： 2024年市级部门政府性基金预算支出预算表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8424" w:type="dxa"/>
            <w:gridSpan w:val="4"/>
            <w:vMerge w:val="continue"/>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7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部门名称：杭州市对口支援和区域合作局</w:t>
            </w:r>
          </w:p>
        </w:tc>
        <w:tc>
          <w:tcPr>
            <w:tcW w:w="816" w:type="dxa"/>
            <w:tcBorders>
              <w:top w:val="nil"/>
              <w:left w:val="nil"/>
              <w:bottom w:val="nil"/>
              <w:right w:val="nil"/>
            </w:tcBorders>
            <w:shd w:val="clear" w:color="auto" w:fill="auto"/>
            <w:vAlign w:val="center"/>
          </w:tcPr>
          <w:p>
            <w:pPr>
              <w:rPr>
                <w:rFonts w:hint="default" w:ascii="Times New Roman" w:hAnsi="Times New Roman" w:cs="Times New Roman"/>
                <w:i w:val="0"/>
                <w:iCs w:val="0"/>
                <w:color w:val="000000"/>
                <w:sz w:val="20"/>
                <w:szCs w:val="20"/>
                <w:u w:val="none"/>
              </w:rPr>
            </w:pPr>
          </w:p>
        </w:tc>
        <w:tc>
          <w:tcPr>
            <w:tcW w:w="1016" w:type="dxa"/>
            <w:tcBorders>
              <w:top w:val="nil"/>
              <w:left w:val="nil"/>
              <w:bottom w:val="nil"/>
              <w:right w:val="nil"/>
            </w:tcBorders>
            <w:shd w:val="clear" w:color="auto" w:fill="auto"/>
            <w:vAlign w:val="center"/>
          </w:tcPr>
          <w:p>
            <w:pPr>
              <w:rPr>
                <w:rFonts w:hint="default" w:ascii="Times New Roman" w:hAnsi="Times New Roman" w:cs="Times New Roman"/>
                <w:i w:val="0"/>
                <w:iCs w:val="0"/>
                <w:color w:val="000000"/>
                <w:sz w:val="20"/>
                <w:szCs w:val="20"/>
                <w:u w:val="none"/>
              </w:rPr>
            </w:pPr>
          </w:p>
        </w:tc>
        <w:tc>
          <w:tcPr>
            <w:tcW w:w="1316"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527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功能分类科目名称</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合 计</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3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52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5276" w:type="dxa"/>
            <w:tcBorders>
              <w:top w:val="single" w:color="000000" w:sz="4" w:space="0"/>
              <w:left w:val="single" w:color="000000" w:sz="4" w:space="0"/>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8424" w:type="dxa"/>
            <w:gridSpan w:val="4"/>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注：本部门没有政府性基金拨款安排的支出，故本表无数据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276" w:type="dxa"/>
            <w:tcBorders>
              <w:top w:val="nil"/>
              <w:left w:val="nil"/>
              <w:bottom w:val="nil"/>
              <w:right w:val="nil"/>
            </w:tcBorders>
            <w:shd w:val="clear" w:color="auto" w:fill="auto"/>
            <w:vAlign w:val="bottom"/>
          </w:tcPr>
          <w:p>
            <w:pPr>
              <w:rPr>
                <w:rFonts w:hint="eastAsia" w:ascii="Calibri" w:hAnsi="Calibri" w:cs="Calibri"/>
                <w:i w:val="0"/>
                <w:iCs w:val="0"/>
                <w:color w:val="000000"/>
                <w:sz w:val="22"/>
                <w:szCs w:val="22"/>
                <w:u w:val="none"/>
              </w:rPr>
            </w:pPr>
          </w:p>
        </w:tc>
        <w:tc>
          <w:tcPr>
            <w:tcW w:w="816" w:type="dxa"/>
            <w:tcBorders>
              <w:top w:val="nil"/>
              <w:left w:val="nil"/>
              <w:bottom w:val="nil"/>
              <w:right w:val="nil"/>
            </w:tcBorders>
            <w:shd w:val="clear" w:color="auto" w:fill="auto"/>
            <w:vAlign w:val="bottom"/>
          </w:tcPr>
          <w:p>
            <w:pPr>
              <w:rPr>
                <w:rFonts w:hint="default" w:ascii="Calibri" w:hAnsi="Calibri" w:cs="Calibri"/>
                <w:i w:val="0"/>
                <w:iCs w:val="0"/>
                <w:color w:val="000000"/>
                <w:sz w:val="22"/>
                <w:szCs w:val="22"/>
                <w:u w:val="none"/>
              </w:rPr>
            </w:pPr>
          </w:p>
        </w:tc>
        <w:tc>
          <w:tcPr>
            <w:tcW w:w="1016" w:type="dxa"/>
            <w:tcBorders>
              <w:top w:val="nil"/>
              <w:left w:val="nil"/>
              <w:bottom w:val="nil"/>
              <w:right w:val="nil"/>
            </w:tcBorders>
            <w:shd w:val="clear" w:color="auto" w:fill="auto"/>
            <w:vAlign w:val="bottom"/>
          </w:tcPr>
          <w:p>
            <w:pPr>
              <w:rPr>
                <w:rFonts w:hint="default" w:ascii="Calibri" w:hAnsi="Calibri" w:cs="Calibri"/>
                <w:i w:val="0"/>
                <w:iCs w:val="0"/>
                <w:color w:val="000000"/>
                <w:sz w:val="22"/>
                <w:szCs w:val="22"/>
                <w:u w:val="none"/>
              </w:rPr>
            </w:pPr>
          </w:p>
        </w:tc>
        <w:tc>
          <w:tcPr>
            <w:tcW w:w="1316" w:type="dxa"/>
            <w:tcBorders>
              <w:top w:val="nil"/>
              <w:left w:val="nil"/>
              <w:bottom w:val="nil"/>
              <w:right w:val="nil"/>
            </w:tcBorders>
            <w:shd w:val="clear" w:color="auto" w:fill="auto"/>
            <w:vAlign w:val="bottom"/>
          </w:tcPr>
          <w:p>
            <w:pPr>
              <w:rPr>
                <w:rFonts w:hint="default" w:ascii="Calibri" w:hAnsi="Calibri" w:cs="Calibri"/>
                <w:i w:val="0"/>
                <w:iCs w:val="0"/>
                <w:color w:val="000000"/>
                <w:sz w:val="22"/>
                <w:szCs w:val="22"/>
                <w:u w:val="none"/>
              </w:rPr>
            </w:pPr>
          </w:p>
        </w:tc>
      </w:tr>
    </w:tbl>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tbl>
      <w:tblPr>
        <w:tblStyle w:val="11"/>
        <w:tblW w:w="8712" w:type="dxa"/>
        <w:tblInd w:w="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85"/>
        <w:gridCol w:w="624"/>
        <w:gridCol w:w="17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712" w:type="dxa"/>
            <w:gridSpan w:val="3"/>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表9： 2024年市级部门国有资本经营预算支出预算表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712" w:type="dxa"/>
            <w:gridSpan w:val="3"/>
            <w:vMerge w:val="continue"/>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6385" w:type="dxa"/>
            <w:tcBorders>
              <w:top w:val="nil"/>
              <w:left w:val="nil"/>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部门名称：杭州市对口支援和区域合作局</w:t>
            </w:r>
          </w:p>
        </w:tc>
        <w:tc>
          <w:tcPr>
            <w:tcW w:w="624"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703"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   </w:t>
            </w:r>
            <w:r>
              <w:rPr>
                <w:rFonts w:ascii="微软雅黑" w:hAnsi="微软雅黑" w:eastAsia="微软雅黑" w:cs="微软雅黑"/>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6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功能分类科目名称</w:t>
            </w:r>
          </w:p>
        </w:tc>
        <w:tc>
          <w:tcPr>
            <w:tcW w:w="6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7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6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6385" w:type="dxa"/>
            <w:tcBorders>
              <w:top w:val="single" w:color="000000" w:sz="4" w:space="0"/>
              <w:left w:val="single" w:color="000000" w:sz="4" w:space="0"/>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8712" w:type="dxa"/>
            <w:gridSpan w:val="3"/>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注：本部门没有国有资本经营预算拨款安排，故本表无数据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6385"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624"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703"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r>
    </w:tbl>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tbl>
      <w:tblPr>
        <w:tblStyle w:val="11"/>
        <w:tblW w:w="9142" w:type="dxa"/>
        <w:tblInd w:w="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447"/>
        <w:gridCol w:w="2040"/>
        <w:gridCol w:w="1277"/>
        <w:gridCol w:w="1322"/>
        <w:gridCol w:w="406"/>
        <w:gridCol w:w="406"/>
        <w:gridCol w:w="406"/>
        <w:gridCol w:w="8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9142" w:type="dxa"/>
            <w:gridSpan w:val="8"/>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表10： 2024年市级部门项目支出预算表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9142" w:type="dxa"/>
            <w:gridSpan w:val="8"/>
            <w:vMerge w:val="continue"/>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764" w:type="dxa"/>
            <w:gridSpan w:val="3"/>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部门名称：杭州市对口支援和区域合作局</w:t>
            </w:r>
          </w:p>
        </w:tc>
        <w:tc>
          <w:tcPr>
            <w:tcW w:w="132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40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650" w:type="dxa"/>
            <w:gridSpan w:val="3"/>
            <w:tcBorders>
              <w:top w:val="nil"/>
              <w:left w:val="nil"/>
              <w:bottom w:val="nil"/>
              <w:right w:val="nil"/>
            </w:tcBorders>
            <w:shd w:val="clear" w:color="auto" w:fill="auto"/>
            <w:vAlign w:val="center"/>
          </w:tcPr>
          <w:p>
            <w:pPr>
              <w:jc w:val="right"/>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24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2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一级项目名称</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337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24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财政拨款收入</w:t>
            </w:r>
          </w:p>
        </w:tc>
        <w:tc>
          <w:tcPr>
            <w:tcW w:w="4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财政专户管理资金</w:t>
            </w:r>
          </w:p>
        </w:tc>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4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4,665.00</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4,605.00</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2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杭州市对口支援和区域合作局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都市圈和区域合作工作</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2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杭州市对口支援和区域合作局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对口地区项目援助支出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4,231.00</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4,231.00</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2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杭州市对口支援和区域合作局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对口支援、对口帮扶和对口合作</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354.00</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354.00</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447" w:type="dxa"/>
            <w:tcBorders>
              <w:top w:val="nil"/>
              <w:left w:val="nil"/>
              <w:bottom w:val="nil"/>
              <w:right w:val="nil"/>
            </w:tcBorders>
            <w:shd w:val="clear" w:color="auto" w:fill="auto"/>
            <w:vAlign w:val="bottom"/>
          </w:tcPr>
          <w:p>
            <w:pPr>
              <w:rPr>
                <w:rFonts w:hint="eastAsia" w:ascii="Calibri" w:hAnsi="Calibri" w:cs="Calibri"/>
                <w:i w:val="0"/>
                <w:iCs w:val="0"/>
                <w:color w:val="000000"/>
                <w:sz w:val="22"/>
                <w:szCs w:val="22"/>
                <w:u w:val="none"/>
              </w:rPr>
            </w:pPr>
          </w:p>
        </w:tc>
        <w:tc>
          <w:tcPr>
            <w:tcW w:w="2040" w:type="dxa"/>
            <w:tcBorders>
              <w:top w:val="nil"/>
              <w:left w:val="nil"/>
              <w:bottom w:val="nil"/>
              <w:right w:val="nil"/>
            </w:tcBorders>
            <w:shd w:val="clear" w:color="auto" w:fill="auto"/>
            <w:vAlign w:val="bottom"/>
          </w:tcPr>
          <w:p>
            <w:pPr>
              <w:rPr>
                <w:rFonts w:hint="default" w:ascii="Calibri" w:hAnsi="Calibri" w:cs="Calibri"/>
                <w:i w:val="0"/>
                <w:iCs w:val="0"/>
                <w:color w:val="000000"/>
                <w:sz w:val="22"/>
                <w:szCs w:val="22"/>
                <w:u w:val="none"/>
              </w:rPr>
            </w:pPr>
          </w:p>
        </w:tc>
        <w:tc>
          <w:tcPr>
            <w:tcW w:w="1277" w:type="dxa"/>
            <w:tcBorders>
              <w:top w:val="nil"/>
              <w:left w:val="nil"/>
              <w:bottom w:val="nil"/>
              <w:right w:val="nil"/>
            </w:tcBorders>
            <w:shd w:val="clear" w:color="auto" w:fill="auto"/>
            <w:vAlign w:val="bottom"/>
          </w:tcPr>
          <w:p>
            <w:pPr>
              <w:rPr>
                <w:rFonts w:hint="default" w:ascii="Calibri" w:hAnsi="Calibri" w:cs="Calibri"/>
                <w:i w:val="0"/>
                <w:iCs w:val="0"/>
                <w:color w:val="000000"/>
                <w:sz w:val="22"/>
                <w:szCs w:val="22"/>
                <w:u w:val="none"/>
              </w:rPr>
            </w:pPr>
          </w:p>
        </w:tc>
        <w:tc>
          <w:tcPr>
            <w:tcW w:w="1322" w:type="dxa"/>
            <w:tcBorders>
              <w:top w:val="nil"/>
              <w:left w:val="nil"/>
              <w:bottom w:val="nil"/>
              <w:right w:val="nil"/>
            </w:tcBorders>
            <w:shd w:val="clear" w:color="auto" w:fill="auto"/>
            <w:vAlign w:val="bottom"/>
          </w:tcPr>
          <w:p>
            <w:pPr>
              <w:rPr>
                <w:rFonts w:hint="default" w:ascii="Calibri" w:hAnsi="Calibri" w:cs="Calibri"/>
                <w:i w:val="0"/>
                <w:iCs w:val="0"/>
                <w:color w:val="000000"/>
                <w:sz w:val="22"/>
                <w:szCs w:val="22"/>
                <w:u w:val="none"/>
              </w:rPr>
            </w:pPr>
          </w:p>
        </w:tc>
        <w:tc>
          <w:tcPr>
            <w:tcW w:w="406" w:type="dxa"/>
            <w:tcBorders>
              <w:top w:val="nil"/>
              <w:left w:val="nil"/>
              <w:bottom w:val="nil"/>
              <w:right w:val="nil"/>
            </w:tcBorders>
            <w:shd w:val="clear" w:color="auto" w:fill="auto"/>
            <w:vAlign w:val="bottom"/>
          </w:tcPr>
          <w:p>
            <w:pPr>
              <w:rPr>
                <w:rFonts w:hint="eastAsia" w:ascii="Arial" w:hAnsi="Arial" w:cs="Arial"/>
                <w:i w:val="0"/>
                <w:iCs w:val="0"/>
                <w:color w:val="000000"/>
                <w:sz w:val="20"/>
                <w:szCs w:val="20"/>
                <w:u w:val="none"/>
              </w:rPr>
            </w:pPr>
          </w:p>
        </w:tc>
        <w:tc>
          <w:tcPr>
            <w:tcW w:w="406"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406"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838"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r>
    </w:tbl>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tbl>
      <w:tblPr>
        <w:tblStyle w:val="11"/>
        <w:tblW w:w="88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81"/>
        <w:gridCol w:w="2871"/>
        <w:gridCol w:w="1740"/>
        <w:gridCol w:w="28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8856" w:type="dxa"/>
            <w:gridSpan w:val="4"/>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表11： 2024年市级部门项目支出绩效表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8856" w:type="dxa"/>
            <w:gridSpan w:val="4"/>
            <w:vMerge w:val="continue"/>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992" w:type="dxa"/>
            <w:gridSpan w:val="3"/>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部门名称：杭州市对口支援和区域合作局</w:t>
            </w:r>
          </w:p>
        </w:tc>
        <w:tc>
          <w:tcPr>
            <w:tcW w:w="2864"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 w:hRule="atLeast"/>
        </w:trPr>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2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2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4,605.00</w:t>
            </w:r>
          </w:p>
        </w:tc>
        <w:tc>
          <w:tcPr>
            <w:tcW w:w="2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7" w:hRule="atLeast"/>
        </w:trPr>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杭州市对口支援和区域合作局</w:t>
            </w:r>
          </w:p>
        </w:tc>
        <w:tc>
          <w:tcPr>
            <w:tcW w:w="2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都市圈和区域合作工作</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2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继续推进杭州都市圈十大重点工作和合作项目清单，开好杭州都市圈第十二次市长联席会议。推进杭州都市圈发展规划报批，完善都市圈专家库，开展丰富合作交流活动，构建都市圈发展指数和指标体系，深化数字协作路径模式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杭州市对口支援和区域合作局</w:t>
            </w:r>
          </w:p>
        </w:tc>
        <w:tc>
          <w:tcPr>
            <w:tcW w:w="2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对口地区项目援助支出</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4,231.00</w:t>
            </w:r>
          </w:p>
        </w:tc>
        <w:tc>
          <w:tcPr>
            <w:tcW w:w="2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提高对口援建地区人民致富能力，提升当地经济发展后劲；推动当地社会经济发展和提升我市产业结构具有积极作用、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7" w:hRule="atLeast"/>
        </w:trPr>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杭州市对口支援和区域合作局</w:t>
            </w:r>
          </w:p>
        </w:tc>
        <w:tc>
          <w:tcPr>
            <w:tcW w:w="2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对口支援、对口帮扶和对口合作</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354.00</w:t>
            </w:r>
          </w:p>
        </w:tc>
        <w:tc>
          <w:tcPr>
            <w:tcW w:w="2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推动中央和省市关于对口工作的部署要求落实落细，打造对口工作升级版，推进乡村振兴工作他，加快构建对口工作新格局，确保“十四五”对口工作开好局、起好步。</w:t>
            </w:r>
          </w:p>
        </w:tc>
      </w:tr>
    </w:tbl>
    <w:p>
      <w:pPr>
        <w:pStyle w:val="24"/>
        <w:spacing w:before="0" w:after="0" w:line="600" w:lineRule="atLeast"/>
        <w:ind w:left="0" w:right="0" w:firstLine="640"/>
        <w:jc w:val="both"/>
        <w:rPr>
          <w:rFonts w:ascii="FangSong_GB2312" w:hAnsi="FangSong_GB2312" w:eastAsia="FangSong_GB2312" w:cs="FangSong_GB2312"/>
          <w:sz w:val="32"/>
          <w:szCs w:val="32"/>
        </w:rPr>
      </w:pPr>
    </w:p>
    <w:p>
      <w:pPr>
        <w:pStyle w:val="24"/>
        <w:spacing w:before="0" w:after="0" w:line="600" w:lineRule="atLeast"/>
        <w:ind w:left="0" w:right="0" w:firstLine="640"/>
        <w:jc w:val="both"/>
        <w:rPr>
          <w:rFonts w:ascii="FangSong_GB2312" w:hAnsi="FangSong_GB2312" w:eastAsia="FangSong_GB2312" w:cs="FangSong_GB2312"/>
          <w:sz w:val="32"/>
          <w:szCs w:val="32"/>
        </w:rPr>
      </w:pPr>
    </w:p>
    <w:sectPr>
      <w:footerReference r:id="rId6" w:type="default"/>
      <w:pgMar w:top="1440" w:right="1800" w:bottom="1440" w:left="1800" w:header="708" w:footer="708" w:gutter="0"/>
      <w:pgNumType w:start="1"/>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FangSong_GB2312">
    <w:panose1 w:val="02010609030101010101"/>
    <w:charset w:val="86"/>
    <w:family w:val="auto"/>
    <w:pitch w:val="default"/>
    <w:sig w:usb0="00000001" w:usb1="080E0000" w:usb2="00000000" w:usb3="00000000" w:csb0="00040000" w:csb1="00000000"/>
  </w:font>
  <w:font w:name="KaiTi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720"/>
  <w:displayHorizontalDrawingGridEvery w:val="1"/>
  <w:displayVerticalDrawingGridEvery w:val="1"/>
  <w:noPunctuationKerning w:val="true"/>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4YjU2MTI0YjFiOTZmZDBkYjA4YjcxNzMwODE2OTMifQ=="/>
  </w:docVars>
  <w:rsids>
    <w:rsidRoot w:val="00000000"/>
    <w:rsid w:val="125F5664"/>
    <w:rsid w:val="19D60180"/>
    <w:rsid w:val="2AC46457"/>
    <w:rsid w:val="4315253F"/>
    <w:rsid w:val="4B34420B"/>
    <w:rsid w:val="5EB6652D"/>
    <w:rsid w:val="61444F9E"/>
    <w:rsid w:val="62E870A1"/>
    <w:rsid w:val="733F78B9"/>
    <w:rsid w:val="740B5D2D"/>
    <w:rsid w:val="75901DEC"/>
    <w:rsid w:val="75DE488F"/>
    <w:rsid w:val="772C74DC"/>
    <w:rsid w:val="77B100F8"/>
    <w:rsid w:val="7FE9B199"/>
    <w:rsid w:val="D777A9C6"/>
    <w:rsid w:val="F69739DE"/>
    <w:rsid w:val="F7A5D8B2"/>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pBdr>
        <w:top w:val="none" w:color="auto" w:sz="0" w:space="0"/>
        <w:left w:val="none" w:color="auto" w:sz="0" w:space="0"/>
        <w:bottom w:val="none" w:color="auto" w:sz="0" w:space="0"/>
        <w:right w:val="none" w:color="auto" w:sz="0" w:space="0"/>
      </w:pBdr>
    </w:pPr>
    <w:rPr>
      <w:rFonts w:ascii="Times New Roman" w:hAnsi="Times New Roman" w:eastAsia="宋体" w:cs="Times New Roman"/>
      <w:color w:val="333333"/>
      <w:sz w:val="27"/>
      <w:szCs w:val="27"/>
      <w:lang w:val="en-US" w:eastAsia="en-US" w:bidi="ar-SA"/>
    </w:rPr>
  </w:style>
  <w:style w:type="paragraph" w:styleId="3">
    <w:name w:val="heading 1"/>
    <w:basedOn w:val="1"/>
    <w:next w:val="1"/>
    <w:qFormat/>
    <w:uiPriority w:val="0"/>
    <w:pPr>
      <w:keepNext/>
      <w:pBdr>
        <w:top w:val="none" w:color="auto" w:sz="0" w:space="0"/>
        <w:left w:val="none" w:color="auto" w:sz="0" w:space="0"/>
        <w:bottom w:val="none" w:color="auto" w:sz="0" w:space="0"/>
        <w:right w:val="none" w:color="auto" w:sz="0" w:space="0"/>
      </w:pBdr>
      <w:spacing w:before="240" w:after="60"/>
      <w:outlineLvl w:val="0"/>
    </w:pPr>
    <w:rPr>
      <w:rFonts w:ascii="Times New Roman" w:hAnsi="Times New Roman" w:eastAsia="Times New Roman" w:cs="Times New Roman"/>
      <w:b/>
      <w:bCs/>
      <w:kern w:val="36"/>
      <w:sz w:val="48"/>
      <w:szCs w:val="48"/>
    </w:rPr>
  </w:style>
  <w:style w:type="paragraph" w:styleId="4">
    <w:name w:val="heading 2"/>
    <w:basedOn w:val="1"/>
    <w:next w:val="1"/>
    <w:qFormat/>
    <w:uiPriority w:val="0"/>
    <w:pPr>
      <w:keepNext/>
      <w:pBdr>
        <w:top w:val="none" w:color="auto" w:sz="0" w:space="0"/>
        <w:left w:val="none" w:color="auto" w:sz="0" w:space="0"/>
        <w:bottom w:val="none" w:color="auto" w:sz="0" w:space="0"/>
        <w:right w:val="none" w:color="auto" w:sz="0" w:space="0"/>
      </w:pBdr>
      <w:spacing w:before="240" w:after="60"/>
      <w:outlineLvl w:val="1"/>
    </w:pPr>
    <w:rPr>
      <w:rFonts w:ascii="Times New Roman" w:hAnsi="Times New Roman" w:eastAsia="Times New Roman" w:cs="Times New Roman"/>
      <w:b/>
      <w:bCs/>
      <w:iCs/>
      <w:sz w:val="36"/>
      <w:szCs w:val="36"/>
    </w:rPr>
  </w:style>
  <w:style w:type="paragraph" w:styleId="5">
    <w:name w:val="heading 3"/>
    <w:basedOn w:val="1"/>
    <w:next w:val="1"/>
    <w:qFormat/>
    <w:uiPriority w:val="0"/>
    <w:pPr>
      <w:keepNext/>
      <w:pBdr>
        <w:top w:val="none" w:color="auto" w:sz="0" w:space="0"/>
        <w:left w:val="none" w:color="auto" w:sz="0" w:space="0"/>
        <w:bottom w:val="none" w:color="auto" w:sz="0" w:space="0"/>
        <w:right w:val="none" w:color="auto" w:sz="0" w:space="0"/>
      </w:pBdr>
      <w:spacing w:before="240" w:after="60"/>
      <w:outlineLvl w:val="2"/>
    </w:pPr>
    <w:rPr>
      <w:rFonts w:ascii="Times New Roman" w:hAnsi="Times New Roman" w:eastAsia="Times New Roman" w:cs="Times New Roman"/>
      <w:b/>
      <w:bCs/>
      <w:sz w:val="28"/>
      <w:szCs w:val="28"/>
    </w:rPr>
  </w:style>
  <w:style w:type="paragraph" w:styleId="6">
    <w:name w:val="heading 4"/>
    <w:basedOn w:val="1"/>
    <w:next w:val="1"/>
    <w:qFormat/>
    <w:uiPriority w:val="0"/>
    <w:pPr>
      <w:keepNext/>
      <w:pBdr>
        <w:top w:val="none" w:color="auto" w:sz="0" w:space="0"/>
        <w:left w:val="none" w:color="auto" w:sz="0" w:space="0"/>
        <w:bottom w:val="none" w:color="auto" w:sz="0" w:space="0"/>
        <w:right w:val="none" w:color="auto" w:sz="0" w:space="0"/>
      </w:pBdr>
      <w:spacing w:before="240" w:after="60"/>
      <w:outlineLvl w:val="3"/>
    </w:pPr>
    <w:rPr>
      <w:rFonts w:ascii="Times New Roman" w:hAnsi="Times New Roman" w:eastAsia="Times New Roman" w:cs="Times New Roman"/>
      <w:b/>
      <w:bCs/>
      <w:sz w:val="24"/>
      <w:szCs w:val="24"/>
    </w:rPr>
  </w:style>
  <w:style w:type="paragraph" w:styleId="7">
    <w:name w:val="heading 5"/>
    <w:basedOn w:val="1"/>
    <w:next w:val="1"/>
    <w:qFormat/>
    <w:uiPriority w:val="0"/>
    <w:pPr>
      <w:pBdr>
        <w:top w:val="none" w:color="auto" w:sz="0" w:space="0"/>
        <w:left w:val="none" w:color="auto" w:sz="0" w:space="0"/>
        <w:bottom w:val="none" w:color="auto" w:sz="0" w:space="0"/>
        <w:right w:val="none" w:color="auto" w:sz="0" w:space="0"/>
      </w:pBdr>
      <w:spacing w:before="240" w:after="60"/>
      <w:outlineLvl w:val="4"/>
    </w:pPr>
    <w:rPr>
      <w:rFonts w:ascii="Times New Roman" w:hAnsi="Times New Roman" w:eastAsia="Times New Roman" w:cs="Times New Roman"/>
      <w:b/>
      <w:bCs/>
      <w:iCs/>
      <w:sz w:val="20"/>
      <w:szCs w:val="20"/>
    </w:rPr>
  </w:style>
  <w:style w:type="paragraph" w:styleId="8">
    <w:name w:val="heading 6"/>
    <w:basedOn w:val="1"/>
    <w:next w:val="1"/>
    <w:qFormat/>
    <w:uiPriority w:val="0"/>
    <w:pPr>
      <w:spacing w:before="240" w:after="60"/>
      <w:outlineLvl w:val="5"/>
    </w:pPr>
    <w:rPr>
      <w:rFonts w:ascii="Times New Roman" w:hAnsi="Times New Roman" w:eastAsia="Times New Roman" w:cs="Times New Roman"/>
      <w:b/>
      <w:bCs/>
      <w:sz w:val="16"/>
      <w:szCs w:val="16"/>
    </w:rPr>
  </w:style>
  <w:style w:type="character" w:default="1" w:styleId="12">
    <w:name w:val="Default Paragraph Font"/>
    <w:semiHidden/>
    <w:qFormat/>
    <w:uiPriority w:val="0"/>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9">
    <w:name w:val="footer"/>
    <w:basedOn w:val="1"/>
    <w:unhideWhenUsed/>
    <w:qFormat/>
    <w:uiPriority w:val="99"/>
    <w:pPr>
      <w:tabs>
        <w:tab w:val="center" w:pos="4153"/>
        <w:tab w:val="right" w:pos="8306"/>
      </w:tabs>
      <w:snapToGrid w:val="0"/>
      <w:jc w:val="left"/>
    </w:pPr>
    <w:rPr>
      <w:sz w:val="18"/>
    </w:rPr>
  </w:style>
  <w:style w:type="paragraph" w:styleId="10">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3">
    <w:name w:val="fengm"/>
    <w:basedOn w:val="1"/>
    <w:qFormat/>
    <w:uiPriority w:val="0"/>
  </w:style>
  <w:style w:type="paragraph" w:customStyle="1" w:styleId="14">
    <w:name w:val="div"/>
    <w:basedOn w:val="1"/>
    <w:qFormat/>
    <w:uiPriority w:val="0"/>
    <w:pPr>
      <w:pBdr>
        <w:top w:val="none" w:color="auto" w:sz="0" w:space="0"/>
        <w:left w:val="none" w:color="auto" w:sz="0" w:space="0"/>
        <w:bottom w:val="none" w:color="auto" w:sz="0" w:space="0"/>
        <w:right w:val="none" w:color="auto" w:sz="0" w:space="0"/>
      </w:pBdr>
    </w:pPr>
  </w:style>
  <w:style w:type="paragraph" w:customStyle="1" w:styleId="15">
    <w:name w:val="h_title"/>
    <w:basedOn w:val="1"/>
    <w:qFormat/>
    <w:uiPriority w:val="0"/>
    <w:rPr>
      <w:sz w:val="84"/>
      <w:szCs w:val="84"/>
    </w:rPr>
  </w:style>
  <w:style w:type="character" w:customStyle="1" w:styleId="16">
    <w:name w:val="number"/>
    <w:basedOn w:val="12"/>
    <w:qFormat/>
    <w:uiPriority w:val="0"/>
    <w:rPr>
      <w:rFonts w:ascii="FangSong_GB2312" w:hAnsi="FangSong_GB2312" w:eastAsia="FangSong_GB2312" w:cs="FangSong_GB2312"/>
    </w:rPr>
  </w:style>
  <w:style w:type="paragraph" w:customStyle="1" w:styleId="17">
    <w:name w:val="catalogue"/>
    <w:basedOn w:val="1"/>
    <w:qFormat/>
    <w:uiPriority w:val="0"/>
    <w:pPr>
      <w:jc w:val="center"/>
    </w:pPr>
  </w:style>
  <w:style w:type="paragraph" w:customStyle="1" w:styleId="18">
    <w:name w:val="catalogue &gt; div"/>
    <w:basedOn w:val="1"/>
    <w:qFormat/>
    <w:uiPriority w:val="0"/>
    <w:pPr>
      <w:spacing w:line="600" w:lineRule="atLeast"/>
      <w:ind w:firstLine="240"/>
    </w:pPr>
  </w:style>
  <w:style w:type="character" w:customStyle="1" w:styleId="19">
    <w:name w:val="span"/>
    <w:basedOn w:val="12"/>
    <w:qFormat/>
    <w:uiPriority w:val="0"/>
  </w:style>
  <w:style w:type="paragraph" w:customStyle="1" w:styleId="20">
    <w:name w:val="content"/>
    <w:basedOn w:val="1"/>
    <w:qFormat/>
    <w:uiPriority w:val="0"/>
  </w:style>
  <w:style w:type="paragraph" w:customStyle="1" w:styleId="21">
    <w:name w:val="content &gt; empty"/>
    <w:basedOn w:val="1"/>
    <w:qFormat/>
    <w:uiPriority w:val="0"/>
    <w:pPr>
      <w:spacing w:line="600" w:lineRule="atLeast"/>
    </w:pPr>
    <w:rPr>
      <w:rFonts w:ascii="FangSong_GB2312" w:hAnsi="FangSong_GB2312" w:eastAsia="FangSong_GB2312" w:cs="FangSong_GB2312"/>
      <w:sz w:val="32"/>
      <w:szCs w:val="32"/>
    </w:rPr>
  </w:style>
  <w:style w:type="paragraph" w:customStyle="1" w:styleId="22">
    <w:name w:val="li"/>
    <w:basedOn w:val="1"/>
    <w:qFormat/>
    <w:uiPriority w:val="0"/>
    <w:pPr>
      <w:pBdr>
        <w:top w:val="none" w:color="auto" w:sz="0" w:space="0"/>
        <w:left w:val="none" w:color="auto" w:sz="0" w:space="0"/>
        <w:bottom w:val="none" w:color="auto" w:sz="0" w:space="0"/>
        <w:right w:val="none" w:color="auto" w:sz="0" w:space="0"/>
      </w:pBdr>
    </w:pPr>
  </w:style>
  <w:style w:type="paragraph" w:customStyle="1" w:styleId="23">
    <w:name w:val="first"/>
    <w:basedOn w:val="1"/>
    <w:qFormat/>
    <w:uiPriority w:val="0"/>
    <w:pPr>
      <w:spacing w:line="600" w:lineRule="atLeast"/>
      <w:ind w:firstLine="640"/>
    </w:pPr>
    <w:rPr>
      <w:rFonts w:ascii="黑体" w:hAnsi="黑体" w:eastAsia="黑体" w:cs="黑体"/>
      <w:sz w:val="32"/>
      <w:szCs w:val="32"/>
    </w:rPr>
  </w:style>
  <w:style w:type="paragraph" w:customStyle="1" w:styleId="24">
    <w:name w:val="content_p"/>
    <w:basedOn w:val="1"/>
    <w:qFormat/>
    <w:uiPriority w:val="0"/>
    <w:pPr>
      <w:ind w:firstLine="480"/>
    </w:pPr>
  </w:style>
  <w:style w:type="paragraph" w:customStyle="1" w:styleId="25">
    <w:name w:val="kaiti"/>
    <w:basedOn w:val="1"/>
    <w:qFormat/>
    <w:uiPriority w:val="0"/>
    <w:pPr>
      <w:spacing w:line="560" w:lineRule="atLeast"/>
    </w:pPr>
    <w:rPr>
      <w:rFonts w:ascii="KaiTi_GB2312" w:hAnsi="KaiTi_GB2312" w:eastAsia="KaiTi_GB2312" w:cs="KaiTi_GB2312"/>
      <w:sz w:val="32"/>
      <w:szCs w:val="32"/>
    </w:rPr>
  </w:style>
  <w:style w:type="character" w:customStyle="1" w:styleId="26">
    <w:name w:val="fangsongtiBold"/>
    <w:basedOn w:val="12"/>
    <w:qFormat/>
    <w:uiPriority w:val="0"/>
    <w:rPr>
      <w:rFonts w:ascii="FangSong_GB2312" w:hAnsi="FangSong_GB2312" w:eastAsia="FangSong_GB2312" w:cs="FangSong_GB2312"/>
      <w:b/>
      <w:bCs/>
      <w:sz w:val="32"/>
      <w:szCs w:val="32"/>
    </w:rPr>
  </w:style>
  <w:style w:type="character" w:customStyle="1" w:styleId="27">
    <w:name w:val="font51"/>
    <w:basedOn w:val="12"/>
    <w:qFormat/>
    <w:uiPriority w:val="0"/>
    <w:rPr>
      <w:rFonts w:hint="default" w:ascii="Calibri" w:hAnsi="Calibri" w:cs="Calibri"/>
      <w:color w:val="000000"/>
      <w:sz w:val="20"/>
      <w:szCs w:val="20"/>
      <w:u w:val="none"/>
    </w:rPr>
  </w:style>
  <w:style w:type="character" w:customStyle="1" w:styleId="28">
    <w:name w:val="font41"/>
    <w:basedOn w:val="12"/>
    <w:qFormat/>
    <w:uiPriority w:val="0"/>
    <w:rPr>
      <w:rFonts w:hint="eastAsia" w:ascii="宋体" w:hAnsi="宋体" w:eastAsia="宋体" w:cs="宋体"/>
      <w:color w:val="000000"/>
      <w:sz w:val="20"/>
      <w:szCs w:val="20"/>
      <w:u w:val="none"/>
    </w:rPr>
  </w:style>
  <w:style w:type="character" w:customStyle="1" w:styleId="29">
    <w:name w:val="font61"/>
    <w:basedOn w:val="1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3</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2024-03-08T09:46:00Z</dcterms:created>
  <dc:creator>dl</dc:creator>
  <cp:lastModifiedBy>user</cp:lastModifiedBy>
  <dcterms:modified xsi:type="dcterms:W3CDTF">2024-03-07T16:32:06Z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2F5F3CFF54554F55A60296D0C3EE65BF_13</vt:lpwstr>
  </property>
</Properties>
</file>