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Lines="0" w:after="0" w:afterLines="0"/>
        <w:ind w:firstLine="0" w:firstLineChars="0"/>
        <w:jc w:val="center"/>
        <w:rPr>
          <w:rFonts w:eastAsia="黑体" w:cs="Times New Roman"/>
          <w:sz w:val="36"/>
          <w:szCs w:val="36"/>
        </w:rPr>
      </w:pPr>
    </w:p>
    <w:p>
      <w:pPr>
        <w:spacing w:before="0" w:beforeLines="0" w:after="0" w:afterLines="0"/>
        <w:ind w:firstLine="0" w:firstLineChars="0"/>
        <w:jc w:val="center"/>
        <w:rPr>
          <w:rFonts w:eastAsia="黑体" w:cs="Times New Roman"/>
          <w:sz w:val="36"/>
          <w:szCs w:val="36"/>
        </w:rPr>
      </w:pPr>
    </w:p>
    <w:p>
      <w:pPr>
        <w:spacing w:before="0" w:beforeLines="0" w:after="0" w:afterLines="0"/>
        <w:ind w:firstLine="0" w:firstLineChars="0"/>
        <w:jc w:val="center"/>
        <w:rPr>
          <w:rFonts w:eastAsia="黑体" w:cs="Times New Roman"/>
          <w:sz w:val="36"/>
          <w:szCs w:val="36"/>
        </w:rPr>
      </w:pPr>
    </w:p>
    <w:p>
      <w:pPr>
        <w:spacing w:before="0" w:beforeLines="0" w:after="0" w:afterLines="0"/>
        <w:ind w:firstLine="0" w:firstLineChars="0"/>
        <w:jc w:val="center"/>
        <w:rPr>
          <w:rFonts w:eastAsia="黑体" w:cs="Times New Roman"/>
          <w:sz w:val="36"/>
          <w:szCs w:val="36"/>
        </w:rPr>
      </w:pPr>
    </w:p>
    <w:p>
      <w:pPr>
        <w:spacing w:before="0" w:beforeLines="0" w:after="0" w:afterLines="0"/>
        <w:ind w:firstLine="0" w:firstLineChars="0"/>
        <w:jc w:val="center"/>
        <w:rPr>
          <w:rFonts w:eastAsia="黑体" w:cs="Times New Roman"/>
          <w:sz w:val="36"/>
          <w:szCs w:val="36"/>
        </w:rPr>
      </w:pPr>
    </w:p>
    <w:p>
      <w:pPr>
        <w:spacing w:before="0" w:beforeLines="0" w:after="0" w:afterLines="0"/>
        <w:ind w:firstLine="0" w:firstLineChars="0"/>
        <w:jc w:val="center"/>
        <w:rPr>
          <w:rFonts w:eastAsia="黑体" w:cs="Times New Roman"/>
          <w:sz w:val="36"/>
          <w:szCs w:val="36"/>
        </w:rPr>
      </w:pPr>
    </w:p>
    <w:p>
      <w:pPr>
        <w:spacing w:before="0" w:beforeLines="0" w:after="0" w:afterLines="0"/>
        <w:ind w:firstLine="0" w:firstLineChars="0"/>
        <w:jc w:val="center"/>
        <w:rPr>
          <w:rFonts w:eastAsia="黑体" w:cs="Times New Roman"/>
          <w:sz w:val="36"/>
          <w:szCs w:val="36"/>
        </w:rPr>
      </w:pPr>
    </w:p>
    <w:p>
      <w:pPr>
        <w:spacing w:before="0" w:beforeLines="0" w:after="0" w:afterLines="0"/>
        <w:ind w:firstLine="0" w:firstLineChars="0"/>
        <w:jc w:val="center"/>
        <w:rPr>
          <w:rFonts w:eastAsia="黑体" w:cs="Times New Roman"/>
          <w:sz w:val="72"/>
          <w:szCs w:val="72"/>
        </w:rPr>
      </w:pPr>
    </w:p>
    <w:p>
      <w:pPr>
        <w:spacing w:before="0" w:beforeLines="0" w:after="0" w:afterLines="0"/>
        <w:ind w:firstLine="0" w:firstLineChars="0"/>
        <w:jc w:val="center"/>
        <w:rPr>
          <w:rFonts w:eastAsia="黑体" w:cs="Times New Roman"/>
          <w:sz w:val="52"/>
          <w:szCs w:val="52"/>
        </w:rPr>
      </w:pPr>
      <w:r>
        <w:rPr>
          <w:rFonts w:eastAsia="黑体" w:cs="Times New Roman"/>
          <w:sz w:val="52"/>
          <w:szCs w:val="52"/>
        </w:rPr>
        <w:t>杭州市废旧物资循环利用体系</w:t>
      </w:r>
    </w:p>
    <w:p>
      <w:pPr>
        <w:spacing w:before="0" w:beforeLines="0" w:after="0" w:afterLines="0"/>
        <w:ind w:firstLine="0" w:firstLineChars="0"/>
        <w:jc w:val="center"/>
        <w:rPr>
          <w:rFonts w:eastAsia="黑体" w:cs="Times New Roman"/>
          <w:sz w:val="52"/>
          <w:szCs w:val="52"/>
        </w:rPr>
      </w:pPr>
      <w:r>
        <w:rPr>
          <w:rFonts w:eastAsia="黑体" w:cs="Times New Roman"/>
          <w:sz w:val="52"/>
          <w:szCs w:val="52"/>
        </w:rPr>
        <w:t>示范城市建设方案</w:t>
      </w:r>
    </w:p>
    <w:p>
      <w:pPr>
        <w:spacing w:before="0" w:beforeLines="0" w:after="0" w:afterLines="0"/>
        <w:ind w:firstLine="0" w:firstLineChars="0"/>
        <w:jc w:val="center"/>
        <w:rPr>
          <w:rFonts w:eastAsia="黑体" w:cs="Times New Roman"/>
          <w:sz w:val="52"/>
          <w:szCs w:val="52"/>
        </w:rPr>
      </w:pPr>
      <w:r>
        <w:rPr>
          <w:rFonts w:eastAsia="黑体" w:cs="Times New Roman"/>
          <w:sz w:val="52"/>
          <w:szCs w:val="52"/>
        </w:rPr>
        <w:t>（2022年—2025年）</w:t>
      </w:r>
    </w:p>
    <w:p>
      <w:pPr>
        <w:spacing w:before="0" w:beforeLines="0" w:after="0" w:afterLines="0"/>
        <w:ind w:firstLine="0" w:firstLineChars="0"/>
        <w:jc w:val="center"/>
        <w:rPr>
          <w:rFonts w:eastAsia="黑体" w:cs="Times New Roman"/>
          <w:sz w:val="52"/>
          <w:szCs w:val="52"/>
        </w:rPr>
      </w:pPr>
      <w:r>
        <w:rPr>
          <w:rFonts w:eastAsia="黑体" w:cs="Times New Roman"/>
          <w:sz w:val="52"/>
          <w:szCs w:val="52"/>
        </w:rPr>
        <w:t>（</w:t>
      </w:r>
      <w:r>
        <w:rPr>
          <w:rFonts w:hint="eastAsia" w:eastAsia="黑体" w:cs="Times New Roman"/>
          <w:sz w:val="52"/>
          <w:szCs w:val="52"/>
          <w:lang w:eastAsia="zh-CN"/>
        </w:rPr>
        <w:t>征求意见</w:t>
      </w:r>
      <w:r>
        <w:rPr>
          <w:rFonts w:eastAsia="黑体" w:cs="Times New Roman"/>
          <w:sz w:val="52"/>
          <w:szCs w:val="52"/>
        </w:rPr>
        <w:t>稿）</w:t>
      </w:r>
    </w:p>
    <w:p>
      <w:pPr>
        <w:spacing w:before="0" w:beforeLines="0" w:after="0" w:afterLines="0"/>
        <w:ind w:firstLine="0" w:firstLineChars="0"/>
        <w:jc w:val="center"/>
        <w:rPr>
          <w:rFonts w:eastAsia="黑体" w:cs="Times New Roman"/>
          <w:sz w:val="52"/>
          <w:szCs w:val="52"/>
        </w:rPr>
      </w:pPr>
    </w:p>
    <w:p>
      <w:pPr>
        <w:spacing w:before="0" w:beforeLines="0" w:after="0" w:afterLines="0"/>
        <w:ind w:firstLine="0" w:firstLineChars="0"/>
        <w:jc w:val="center"/>
        <w:rPr>
          <w:rFonts w:eastAsia="黑体" w:cs="Times New Roman"/>
          <w:sz w:val="52"/>
          <w:szCs w:val="52"/>
        </w:rPr>
      </w:pPr>
    </w:p>
    <w:p>
      <w:pPr>
        <w:spacing w:before="0" w:beforeLines="0" w:after="0" w:afterLines="0"/>
        <w:ind w:firstLine="0" w:firstLineChars="0"/>
        <w:jc w:val="center"/>
        <w:rPr>
          <w:rFonts w:eastAsia="黑体" w:cs="Times New Roman"/>
          <w:sz w:val="52"/>
          <w:szCs w:val="52"/>
        </w:rPr>
      </w:pPr>
    </w:p>
    <w:p>
      <w:pPr>
        <w:spacing w:before="0" w:beforeLines="0" w:after="0" w:afterLines="0"/>
        <w:ind w:firstLine="0" w:firstLineChars="0"/>
        <w:jc w:val="center"/>
        <w:rPr>
          <w:rFonts w:eastAsia="黑体" w:cs="Times New Roman"/>
          <w:sz w:val="52"/>
          <w:szCs w:val="52"/>
        </w:rPr>
      </w:pPr>
    </w:p>
    <w:p>
      <w:pPr>
        <w:spacing w:before="0" w:beforeLines="0" w:after="0" w:afterLines="0"/>
        <w:ind w:firstLine="0" w:firstLineChars="0"/>
        <w:jc w:val="center"/>
        <w:rPr>
          <w:rFonts w:eastAsia="黑体" w:cs="Times New Roman"/>
          <w:sz w:val="52"/>
          <w:szCs w:val="52"/>
        </w:rPr>
      </w:pPr>
    </w:p>
    <w:p>
      <w:pPr>
        <w:spacing w:before="0" w:beforeLines="0" w:after="0" w:afterLines="0"/>
        <w:ind w:firstLine="0" w:firstLineChars="0"/>
        <w:jc w:val="center"/>
        <w:rPr>
          <w:rFonts w:eastAsia="黑体" w:cs="Times New Roman"/>
          <w:sz w:val="44"/>
          <w:szCs w:val="44"/>
        </w:rPr>
      </w:pPr>
      <w:r>
        <w:rPr>
          <w:rFonts w:eastAsia="黑体" w:cs="Times New Roman"/>
          <w:sz w:val="44"/>
          <w:szCs w:val="44"/>
        </w:rPr>
        <w:t>二〇二二年三月</w:t>
      </w:r>
    </w:p>
    <w:p>
      <w:pPr>
        <w:spacing w:before="0" w:beforeLines="0" w:after="0" w:afterLines="0"/>
        <w:ind w:firstLine="0" w:firstLineChars="0"/>
        <w:jc w:val="center"/>
        <w:rPr>
          <w:rFonts w:eastAsia="黑体" w:cs="Times New Roman"/>
          <w:sz w:val="36"/>
          <w:szCs w:val="36"/>
        </w:rPr>
      </w:pPr>
    </w:p>
    <w:p>
      <w:pPr>
        <w:spacing w:before="0" w:beforeLines="0" w:after="0" w:afterLines="0"/>
        <w:ind w:firstLine="0" w:firstLineChars="0"/>
        <w:jc w:val="center"/>
        <w:rPr>
          <w:rFonts w:eastAsia="黑体" w:cs="Times New Roman"/>
          <w:sz w:val="36"/>
          <w:szCs w:val="36"/>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324" w:gutter="0"/>
          <w:pgNumType w:start="1"/>
          <w:cols w:space="425" w:num="1"/>
          <w:docGrid w:type="lines" w:linePitch="312" w:charSpace="0"/>
        </w:sectPr>
      </w:pPr>
    </w:p>
    <w:p>
      <w:pPr>
        <w:pageBreakBefore w:val="0"/>
        <w:kinsoku/>
        <w:wordWrap/>
        <w:overflowPunct/>
        <w:topLinePunct w:val="0"/>
        <w:autoSpaceDE/>
        <w:autoSpaceDN/>
        <w:bidi w:val="0"/>
        <w:adjustRightInd/>
        <w:snapToGrid/>
        <w:spacing w:before="0" w:beforeLines="0" w:after="0" w:afterLines="0" w:line="360" w:lineRule="auto"/>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家发展改革委办公厅等关于组织开展废旧物资循环利用体系示范城市建设的通知》（发改办环资[2022]35号）要求，以碳达峰碳中和目标任务为引领，以大力发展循环经济为抓手，杭州市争取率先建成基本完善的废旧物资循环利用体系，对全国形成示范引领效应，特制定本建设方案。</w:t>
      </w:r>
    </w:p>
    <w:p>
      <w:pPr>
        <w:pStyle w:val="2"/>
        <w:pageBreakBefore w:val="0"/>
        <w:kinsoku/>
        <w:wordWrap/>
        <w:overflowPunct/>
        <w:topLinePunct w:val="0"/>
        <w:autoSpaceDE/>
        <w:autoSpaceDN/>
        <w:bidi w:val="0"/>
        <w:adjustRightInd/>
        <w:snapToGrid/>
        <w:spacing w:before="0" w:beforeLines="0" w:after="0" w:afterLines="0" w:line="360" w:lineRule="auto"/>
        <w:ind w:firstLine="64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pStyle w:val="3"/>
        <w:pageBreakBefore w:val="0"/>
        <w:kinsoku/>
        <w:wordWrap/>
        <w:overflowPunct/>
        <w:topLinePunct w:val="0"/>
        <w:autoSpaceDE/>
        <w:autoSpaceDN/>
        <w:bidi w:val="0"/>
        <w:adjustRightInd/>
        <w:snapToGrid/>
        <w:spacing w:before="0" w:beforeLines="0" w:after="0" w:afterLines="0" w:line="360" w:lineRule="auto"/>
        <w:ind w:firstLine="60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（一）指导思想</w:t>
      </w:r>
    </w:p>
    <w:p>
      <w:pPr>
        <w:pageBreakBefore w:val="0"/>
        <w:kinsoku/>
        <w:wordWrap/>
        <w:overflowPunct/>
        <w:topLinePunct w:val="0"/>
        <w:autoSpaceDE/>
        <w:autoSpaceDN/>
        <w:bidi w:val="0"/>
        <w:adjustRightInd/>
        <w:snapToGrid/>
        <w:spacing w:before="0" w:beforeLines="0" w:after="0" w:afterLines="0" w:line="360" w:lineRule="auto"/>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贯彻习近平生态文明思想，紧紧围绕建设美丽杭州总体部署，充分发挥杭州创新、生态、数字经济等独特优势，围绕打造“回收网络化、服务便利化、分拣工厂化、利用高效化、监管信息化”全链条废旧物资循环利用体系，实施建网络、促利用、育产业、智监管、强保障五大举措，着力提升全社会资源利用效率，凝练废旧物资循环利用的杭州模式。</w:t>
      </w:r>
    </w:p>
    <w:p>
      <w:pPr>
        <w:pStyle w:val="3"/>
        <w:pageBreakBefore w:val="0"/>
        <w:kinsoku/>
        <w:wordWrap/>
        <w:overflowPunct/>
        <w:topLinePunct w:val="0"/>
        <w:autoSpaceDE/>
        <w:autoSpaceDN/>
        <w:bidi w:val="0"/>
        <w:adjustRightInd/>
        <w:snapToGrid/>
        <w:spacing w:before="0" w:beforeLines="0" w:after="0" w:afterLines="0" w:line="360" w:lineRule="auto"/>
        <w:ind w:firstLine="60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（二）基本原则</w:t>
      </w:r>
    </w:p>
    <w:p>
      <w:pPr>
        <w:pageBreakBefore w:val="0"/>
        <w:kinsoku/>
        <w:wordWrap/>
        <w:overflowPunct/>
        <w:topLinePunct w:val="0"/>
        <w:autoSpaceDE/>
        <w:autoSpaceDN/>
        <w:bidi w:val="0"/>
        <w:adjustRightInd/>
        <w:snapToGrid/>
        <w:spacing w:before="0" w:beforeLines="0" w:after="0" w:afterLines="0" w:line="360" w:lineRule="auto"/>
        <w:ind w:firstLine="60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——政府推动、全民参与。</w:t>
      </w:r>
      <w:r>
        <w:rPr>
          <w:rFonts w:hint="eastAsia" w:ascii="仿宋_GB2312" w:hAnsi="仿宋_GB2312" w:eastAsia="仿宋_GB2312" w:cs="仿宋_GB2312"/>
          <w:sz w:val="32"/>
          <w:szCs w:val="32"/>
        </w:rPr>
        <w:t>强化制度建设，完善政策体系，充分发挥政府引导推动作用。加强宣传推广，创新激励机制，充分调动各类企业、社会团体、公众参与废旧物资循环利用的积极性和主动性，协力推进试点建设。</w:t>
      </w:r>
    </w:p>
    <w:p>
      <w:pPr>
        <w:pageBreakBefore w:val="0"/>
        <w:kinsoku/>
        <w:wordWrap/>
        <w:overflowPunct/>
        <w:topLinePunct w:val="0"/>
        <w:autoSpaceDE/>
        <w:autoSpaceDN/>
        <w:bidi w:val="0"/>
        <w:adjustRightInd/>
        <w:snapToGrid/>
        <w:spacing w:before="0" w:beforeLines="0" w:after="0" w:afterLines="0" w:line="360" w:lineRule="auto"/>
        <w:ind w:firstLine="60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——问题导向、完善体系。</w:t>
      </w:r>
      <w:r>
        <w:rPr>
          <w:rFonts w:hint="eastAsia" w:ascii="仿宋_GB2312" w:hAnsi="仿宋_GB2312" w:eastAsia="仿宋_GB2312" w:cs="仿宋_GB2312"/>
          <w:sz w:val="32"/>
          <w:szCs w:val="32"/>
        </w:rPr>
        <w:t>坚持问题导向，聚焦理念推广、处置能力、产业匹配、低值品回收等现实问题，着力推进强链补链，着力补强薄弱环节，打造“五化”全链条废旧物资循环利用体系。</w:t>
      </w:r>
    </w:p>
    <w:p>
      <w:pPr>
        <w:pageBreakBefore w:val="0"/>
        <w:kinsoku/>
        <w:wordWrap/>
        <w:overflowPunct/>
        <w:topLinePunct w:val="0"/>
        <w:autoSpaceDE/>
        <w:autoSpaceDN/>
        <w:bidi w:val="0"/>
        <w:adjustRightInd/>
        <w:snapToGrid/>
        <w:spacing w:before="0" w:beforeLines="0" w:after="0" w:afterLines="0" w:line="360" w:lineRule="auto"/>
        <w:ind w:firstLine="60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——数智赋能、创新管理。</w:t>
      </w:r>
      <w:r>
        <w:rPr>
          <w:rFonts w:hint="eastAsia" w:ascii="仿宋_GB2312" w:hAnsi="仿宋_GB2312" w:eastAsia="仿宋_GB2312" w:cs="仿宋_GB2312"/>
          <w:sz w:val="32"/>
          <w:szCs w:val="32"/>
        </w:rPr>
        <w:t>充分利用数字经济第一城优势，推进“互联网+”、“物联网+”、“区块链”等数智技术在废旧物资循环利用体系建设和运行中的应用，挖掘利用潜力，提升利用效率。以规范化、数字化为导向，创新废旧物资循环利用监管模式，提高监管效率。</w:t>
      </w:r>
    </w:p>
    <w:p>
      <w:pPr>
        <w:pageBreakBefore w:val="0"/>
        <w:kinsoku/>
        <w:wordWrap/>
        <w:overflowPunct/>
        <w:topLinePunct w:val="0"/>
        <w:autoSpaceDE/>
        <w:autoSpaceDN/>
        <w:bidi w:val="0"/>
        <w:adjustRightInd/>
        <w:snapToGrid/>
        <w:spacing w:before="0" w:beforeLines="0" w:after="0" w:afterLines="0" w:line="360" w:lineRule="auto"/>
        <w:ind w:firstLine="60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——改革驱动、凝练模式。</w:t>
      </w:r>
      <w:r>
        <w:rPr>
          <w:rFonts w:hint="eastAsia" w:ascii="仿宋_GB2312" w:hAnsi="仿宋_GB2312" w:eastAsia="仿宋_GB2312" w:cs="仿宋_GB2312"/>
          <w:sz w:val="32"/>
          <w:szCs w:val="32"/>
        </w:rPr>
        <w:t>注重案例收集，及时总结经验，串点成面打造展示场景，突出展示废旧物资循环利用杭州经验和模式，营造试点建设良好氛围。</w:t>
      </w:r>
    </w:p>
    <w:p>
      <w:pPr>
        <w:pStyle w:val="3"/>
        <w:pageBreakBefore w:val="0"/>
        <w:kinsoku/>
        <w:wordWrap/>
        <w:overflowPunct/>
        <w:topLinePunct w:val="0"/>
        <w:autoSpaceDE/>
        <w:autoSpaceDN/>
        <w:bidi w:val="0"/>
        <w:adjustRightInd/>
        <w:snapToGrid/>
        <w:spacing w:before="0" w:beforeLines="0" w:after="0" w:afterLines="0" w:line="360" w:lineRule="auto"/>
        <w:ind w:firstLine="60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（三）主要目标</w:t>
      </w:r>
    </w:p>
    <w:p>
      <w:pPr>
        <w:pageBreakBefore w:val="0"/>
        <w:kinsoku/>
        <w:wordWrap/>
        <w:overflowPunct/>
        <w:topLinePunct w:val="0"/>
        <w:autoSpaceDE/>
        <w:autoSpaceDN/>
        <w:bidi w:val="0"/>
        <w:adjustRightInd/>
        <w:snapToGrid/>
        <w:spacing w:before="0" w:beforeLines="0" w:after="0" w:afterLines="0" w:line="360" w:lineRule="auto"/>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2025年，基本形成较为完善的废旧物资循环利用政策体系，资源循环利用水平得到进一步提升。基本建成废旧物资循环利用体系，回收网点（营业面积10平米以上）覆盖每个居民小区（或1000户家庭左右），行政村（或2000户家庭左右），每个区、县（市）建成投运1个以上分拣中心。市区生活垃圾分类实现100%全覆盖，累计创建省级高标准生活垃圾分类示范小区750个，城镇生活垃圾回收利用率达到60%左右。培育废旧物资回收骨干龙头企业30家以上，互联网+再生资源回收企业20家以上。再生资源加工利用产业实现集聚化发展，规模化、规范化、清洁化水平显著提高。废旧金属等主要再生资源品种回收加工利用水平国内领先。城乡居民二手商品交易渠道和形式更加丰富，二手交易更加规范便利。基本建成运营废旧物资循环利用数智平台，基本实现废旧物资全过程数字化管控。</w:t>
      </w:r>
    </w:p>
    <w:p>
      <w:pPr>
        <w:pageBreakBefore w:val="0"/>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表1杭州市废旧物资循环利用体系示范城市建设目标表</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3"/>
        <w:gridCol w:w="3351"/>
        <w:gridCol w:w="1367"/>
        <w:gridCol w:w="1484"/>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9" w:type="pct"/>
            <w:shd w:val="clear" w:color="auto" w:fill="auto"/>
            <w:noWrap/>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序号</w:t>
            </w:r>
          </w:p>
        </w:tc>
        <w:tc>
          <w:tcPr>
            <w:tcW w:w="1997" w:type="pct"/>
            <w:shd w:val="clear" w:color="auto" w:fill="auto"/>
            <w:noWrap/>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项目</w:t>
            </w:r>
          </w:p>
        </w:tc>
        <w:tc>
          <w:tcPr>
            <w:tcW w:w="833" w:type="pct"/>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现状</w:t>
            </w:r>
          </w:p>
        </w:tc>
        <w:tc>
          <w:tcPr>
            <w:tcW w:w="747" w:type="pct"/>
            <w:shd w:val="clear" w:color="auto" w:fill="auto"/>
            <w:noWrap/>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2025年目标</w:t>
            </w:r>
          </w:p>
        </w:tc>
        <w:tc>
          <w:tcPr>
            <w:tcW w:w="945" w:type="pct"/>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9" w:type="pct"/>
            <w:shd w:val="clear" w:color="auto" w:fill="auto"/>
            <w:noWrap/>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1997" w:type="pct"/>
            <w:shd w:val="clear" w:color="auto" w:fill="auto"/>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城区回收网点覆盖率</w:t>
            </w:r>
          </w:p>
        </w:tc>
        <w:tc>
          <w:tcPr>
            <w:tcW w:w="833" w:type="pct"/>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94%</w:t>
            </w:r>
          </w:p>
        </w:tc>
        <w:tc>
          <w:tcPr>
            <w:tcW w:w="747" w:type="pct"/>
            <w:shd w:val="clear" w:color="auto" w:fill="auto"/>
            <w:noWrap/>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945" w:type="pct"/>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9" w:type="pct"/>
            <w:shd w:val="clear" w:color="auto" w:fill="auto"/>
            <w:noWrap/>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1997" w:type="pct"/>
            <w:shd w:val="clear" w:color="auto" w:fill="auto"/>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农村回收网点覆盖率</w:t>
            </w:r>
          </w:p>
        </w:tc>
        <w:tc>
          <w:tcPr>
            <w:tcW w:w="833" w:type="pct"/>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p>
        </w:tc>
        <w:tc>
          <w:tcPr>
            <w:tcW w:w="747" w:type="pct"/>
            <w:shd w:val="clear" w:color="auto" w:fill="auto"/>
            <w:noWrap/>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70%</w:t>
            </w:r>
          </w:p>
        </w:tc>
        <w:tc>
          <w:tcPr>
            <w:tcW w:w="945" w:type="pct"/>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9" w:type="pct"/>
            <w:shd w:val="clear" w:color="auto" w:fill="auto"/>
            <w:noWrap/>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1997" w:type="pct"/>
            <w:shd w:val="clear" w:color="auto" w:fill="auto"/>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绿色分拣中心数量</w:t>
            </w:r>
          </w:p>
        </w:tc>
        <w:tc>
          <w:tcPr>
            <w:tcW w:w="833" w:type="pct"/>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747" w:type="pct"/>
            <w:shd w:val="clear" w:color="auto" w:fill="auto"/>
            <w:noWrap/>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4个以上</w:t>
            </w:r>
          </w:p>
        </w:tc>
        <w:tc>
          <w:tcPr>
            <w:tcW w:w="945" w:type="pct"/>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9" w:type="pct"/>
            <w:shd w:val="clear" w:color="auto" w:fill="auto"/>
            <w:noWrap/>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1997" w:type="pct"/>
            <w:shd w:val="clear" w:color="auto" w:fill="auto"/>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市区生活垃圾分类率</w:t>
            </w:r>
          </w:p>
        </w:tc>
        <w:tc>
          <w:tcPr>
            <w:tcW w:w="833" w:type="pct"/>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747" w:type="pct"/>
            <w:shd w:val="clear" w:color="auto" w:fill="auto"/>
            <w:noWrap/>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945" w:type="pct"/>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市城管局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9" w:type="pct"/>
            <w:shd w:val="clear" w:color="auto" w:fill="auto"/>
            <w:noWrap/>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w:t>
            </w:r>
          </w:p>
        </w:tc>
        <w:tc>
          <w:tcPr>
            <w:tcW w:w="1997" w:type="pct"/>
            <w:shd w:val="clear" w:color="auto" w:fill="auto"/>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省级高标准生活垃圾分类示范小区</w:t>
            </w:r>
          </w:p>
        </w:tc>
        <w:tc>
          <w:tcPr>
            <w:tcW w:w="833" w:type="pct"/>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473</w:t>
            </w:r>
          </w:p>
        </w:tc>
        <w:tc>
          <w:tcPr>
            <w:tcW w:w="747" w:type="pct"/>
            <w:shd w:val="clear" w:color="auto" w:fill="auto"/>
            <w:noWrap/>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750个</w:t>
            </w:r>
          </w:p>
        </w:tc>
        <w:tc>
          <w:tcPr>
            <w:tcW w:w="945" w:type="pct"/>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市城管局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9" w:type="pct"/>
            <w:shd w:val="clear" w:color="auto" w:fill="auto"/>
            <w:noWrap/>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w:t>
            </w:r>
          </w:p>
        </w:tc>
        <w:tc>
          <w:tcPr>
            <w:tcW w:w="1997" w:type="pct"/>
            <w:shd w:val="clear" w:color="auto" w:fill="auto"/>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城镇生活垃圾回收利用率</w:t>
            </w:r>
          </w:p>
        </w:tc>
        <w:tc>
          <w:tcPr>
            <w:tcW w:w="833" w:type="pct"/>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53%</w:t>
            </w:r>
          </w:p>
        </w:tc>
        <w:tc>
          <w:tcPr>
            <w:tcW w:w="747" w:type="pct"/>
            <w:shd w:val="clear" w:color="auto" w:fill="auto"/>
            <w:noWrap/>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60%</w:t>
            </w:r>
          </w:p>
        </w:tc>
        <w:tc>
          <w:tcPr>
            <w:tcW w:w="945" w:type="pct"/>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9" w:type="pct"/>
            <w:shd w:val="clear" w:color="auto" w:fill="auto"/>
            <w:noWrap/>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w:t>
            </w:r>
          </w:p>
        </w:tc>
        <w:tc>
          <w:tcPr>
            <w:tcW w:w="1997" w:type="pct"/>
            <w:shd w:val="clear" w:color="auto" w:fill="auto"/>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废旧物资回收骨干龙头企业</w:t>
            </w:r>
          </w:p>
        </w:tc>
        <w:tc>
          <w:tcPr>
            <w:tcW w:w="833" w:type="pct"/>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30家</w:t>
            </w:r>
          </w:p>
        </w:tc>
        <w:tc>
          <w:tcPr>
            <w:tcW w:w="747" w:type="pct"/>
            <w:shd w:val="clear" w:color="auto" w:fill="auto"/>
            <w:noWrap/>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30家以上</w:t>
            </w:r>
          </w:p>
        </w:tc>
        <w:tc>
          <w:tcPr>
            <w:tcW w:w="945" w:type="pct"/>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9" w:type="pct"/>
            <w:shd w:val="clear" w:color="auto" w:fill="auto"/>
            <w:noWrap/>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w:t>
            </w:r>
          </w:p>
        </w:tc>
        <w:tc>
          <w:tcPr>
            <w:tcW w:w="1997" w:type="pct"/>
            <w:shd w:val="clear" w:color="auto" w:fill="auto"/>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互联网+再生资源回收企业</w:t>
            </w:r>
          </w:p>
        </w:tc>
        <w:tc>
          <w:tcPr>
            <w:tcW w:w="833" w:type="pct"/>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13家</w:t>
            </w:r>
          </w:p>
        </w:tc>
        <w:tc>
          <w:tcPr>
            <w:tcW w:w="747" w:type="pct"/>
            <w:shd w:val="clear" w:color="auto" w:fill="auto"/>
            <w:noWrap/>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20家以上</w:t>
            </w:r>
          </w:p>
        </w:tc>
        <w:tc>
          <w:tcPr>
            <w:tcW w:w="945" w:type="pct"/>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9" w:type="pct"/>
            <w:shd w:val="clear" w:color="auto" w:fill="auto"/>
            <w:noWrap/>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w:t>
            </w:r>
          </w:p>
        </w:tc>
        <w:tc>
          <w:tcPr>
            <w:tcW w:w="1997" w:type="pct"/>
            <w:shd w:val="clear" w:color="auto" w:fill="auto"/>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再生资源利用行业总产值</w:t>
            </w:r>
          </w:p>
        </w:tc>
        <w:tc>
          <w:tcPr>
            <w:tcW w:w="833" w:type="pct"/>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70亿元</w:t>
            </w:r>
          </w:p>
        </w:tc>
        <w:tc>
          <w:tcPr>
            <w:tcW w:w="747" w:type="pct"/>
            <w:shd w:val="clear" w:color="auto" w:fill="auto"/>
            <w:noWrap/>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80亿元</w:t>
            </w:r>
          </w:p>
        </w:tc>
        <w:tc>
          <w:tcPr>
            <w:tcW w:w="945" w:type="pct"/>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市商务局、市经信局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9" w:type="pct"/>
            <w:shd w:val="clear" w:color="auto" w:fill="auto"/>
            <w:noWrap/>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w:t>
            </w:r>
          </w:p>
        </w:tc>
        <w:tc>
          <w:tcPr>
            <w:tcW w:w="1997" w:type="pct"/>
            <w:shd w:val="clear" w:color="auto" w:fill="auto"/>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主要废弃物循环利用率</w:t>
            </w:r>
          </w:p>
        </w:tc>
        <w:tc>
          <w:tcPr>
            <w:tcW w:w="833" w:type="pct"/>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cs="仿宋_GB2312"/>
                <w:color w:val="000000"/>
                <w:kern w:val="0"/>
                <w:sz w:val="24"/>
                <w:szCs w:val="24"/>
                <w:lang w:val="en-US" w:eastAsia="zh-CN"/>
              </w:rPr>
              <w:t>/</w:t>
            </w:r>
          </w:p>
        </w:tc>
        <w:tc>
          <w:tcPr>
            <w:tcW w:w="747" w:type="pct"/>
            <w:shd w:val="clear" w:color="auto" w:fill="auto"/>
            <w:noWrap/>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≥75%</w:t>
            </w:r>
          </w:p>
        </w:tc>
        <w:tc>
          <w:tcPr>
            <w:tcW w:w="945" w:type="pct"/>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9" w:type="pct"/>
            <w:shd w:val="clear" w:color="auto" w:fill="auto"/>
            <w:noWrap/>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w:t>
            </w:r>
          </w:p>
        </w:tc>
        <w:tc>
          <w:tcPr>
            <w:tcW w:w="1997" w:type="pct"/>
            <w:shd w:val="clear" w:color="auto" w:fill="auto"/>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城镇生活垃圾资源化利用率</w:t>
            </w:r>
          </w:p>
        </w:tc>
        <w:tc>
          <w:tcPr>
            <w:tcW w:w="833" w:type="pct"/>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747" w:type="pct"/>
            <w:shd w:val="clear" w:color="auto" w:fill="auto"/>
            <w:noWrap/>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945" w:type="pct"/>
            <w:vAlign w:val="center"/>
          </w:tcPr>
          <w:p>
            <w:pPr>
              <w:pageBreakBefore w:val="0"/>
              <w:widowControl/>
              <w:kinsoku/>
              <w:wordWrap/>
              <w:overflowPunct/>
              <w:topLinePunct w:val="0"/>
              <w:autoSpaceDE/>
              <w:autoSpaceDN/>
              <w:bidi w:val="0"/>
              <w:adjustRightInd/>
              <w:snapToGrid/>
              <w:spacing w:before="0" w:beforeLines="0" w:after="0" w:afterLines="0" w:line="360" w:lineRule="auto"/>
              <w:ind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市城管局</w:t>
            </w:r>
          </w:p>
        </w:tc>
      </w:tr>
    </w:tbl>
    <w:p>
      <w:pPr>
        <w:pStyle w:val="2"/>
        <w:pageBreakBefore w:val="0"/>
        <w:kinsoku/>
        <w:wordWrap/>
        <w:overflowPunct/>
        <w:topLinePunct w:val="0"/>
        <w:autoSpaceDE/>
        <w:autoSpaceDN/>
        <w:bidi w:val="0"/>
        <w:adjustRightInd/>
        <w:snapToGrid/>
        <w:spacing w:before="0" w:beforeLines="0" w:after="0" w:afterLines="0" w:line="360" w:lineRule="auto"/>
        <w:ind w:firstLine="640"/>
        <w:textAlignment w:val="auto"/>
        <w:rPr>
          <w:rFonts w:hint="eastAsia" w:ascii="黑体" w:hAnsi="黑体" w:eastAsia="黑体" w:cs="黑体"/>
          <w:sz w:val="32"/>
          <w:szCs w:val="32"/>
        </w:rPr>
      </w:pPr>
      <w:r>
        <w:rPr>
          <w:rFonts w:hint="eastAsia" w:ascii="黑体" w:hAnsi="黑体" w:eastAsia="黑体" w:cs="黑体"/>
          <w:sz w:val="32"/>
          <w:szCs w:val="32"/>
        </w:rPr>
        <w:t>二、推进高标准建设，健全回收网络体系</w:t>
      </w:r>
    </w:p>
    <w:p>
      <w:pPr>
        <w:pageBreakBefore w:val="0"/>
        <w:kinsoku/>
        <w:wordWrap/>
        <w:overflowPunct/>
        <w:topLinePunct w:val="0"/>
        <w:autoSpaceDE/>
        <w:autoSpaceDN/>
        <w:bidi w:val="0"/>
        <w:adjustRightInd/>
        <w:snapToGrid/>
        <w:spacing w:before="0" w:beforeLines="0" w:after="0" w:afterLines="0" w:line="360" w:lineRule="auto"/>
        <w:ind w:firstLine="60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（一）继续完善废旧物资源头回收网点体系。</w:t>
      </w:r>
      <w:r>
        <w:rPr>
          <w:rFonts w:hint="eastAsia" w:ascii="仿宋_GB2312" w:hAnsi="仿宋_GB2312" w:eastAsia="仿宋_GB2312" w:cs="仿宋_GB2312"/>
          <w:sz w:val="32"/>
          <w:szCs w:val="32"/>
        </w:rPr>
        <w:t>按照“便捷、便民、规范、高效”的原则，合理布置回收网点，设立智能回收设施。在每个居民小区（或1000户家庭左右）、行政村（或2000户家庭左右）范围内，设置回收网点1个，每个网点营业面积10平方米以上。商场、超市、学校等公共场所和不具备回收网点条件的小区利用生活垃圾分类网点设置智能回收箱等设施。深入推进生活垃圾分类网点与废旧物资回收网点“两网融合”，持续开展高标准生活垃圾分类示范小区建设，废旧物资回收网点与新建小区、商业综合体等同步规划、同步设计、同步建设、同步竣工验收。到2025年，建成省级高标准生活垃圾分类示范小区750个，全市城区规范化再生资源回收网点实现100%覆盖，农村规范化再生资源回收网点覆盖率达70%以上。</w:t>
      </w:r>
    </w:p>
    <w:p>
      <w:pPr>
        <w:pageBreakBefore w:val="0"/>
        <w:kinsoku/>
        <w:wordWrap/>
        <w:overflowPunct/>
        <w:topLinePunct w:val="0"/>
        <w:autoSpaceDE/>
        <w:autoSpaceDN/>
        <w:bidi w:val="0"/>
        <w:adjustRightInd/>
        <w:snapToGrid/>
        <w:spacing w:before="0" w:beforeLines="0" w:after="0" w:afterLines="0" w:line="360" w:lineRule="auto"/>
        <w:ind w:firstLine="60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（二）实施分拣中心提升改造计划。</w:t>
      </w:r>
      <w:r>
        <w:rPr>
          <w:rFonts w:hint="eastAsia" w:ascii="仿宋_GB2312" w:hAnsi="仿宋_GB2312" w:eastAsia="仿宋_GB2312" w:cs="仿宋_GB2312"/>
          <w:sz w:val="32"/>
          <w:szCs w:val="32"/>
        </w:rPr>
        <w:t>以区、县（市）为单位，合理规划分拣中心占地面积、分拣能力、服务半径，鼓励按照《再生资源绿色分拣中心建设管理规范》（SB/T10720-2021）等有关要求，新建和改造提升绿色分拣中心。强化综合型分拣中心安全监测、分拣、打包、储存等功能</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鼓励各区、县（市）根据再生资源品类，因地制宜建设废旧电子产品、废旧纺织品、废弃大件家具等专业型分拣中心，支持龙头骨干企业参与专业型分拣中心建设。到2025年，全市建成绿色分拣中心4个以上，各区、县（市）建成1座以上标准化分拣中心，形成与废旧物资产生量相匹配的分拣能力。</w:t>
      </w:r>
    </w:p>
    <w:p>
      <w:pPr>
        <w:pageBreakBefore w:val="0"/>
        <w:kinsoku/>
        <w:wordWrap/>
        <w:overflowPunct/>
        <w:topLinePunct w:val="0"/>
        <w:autoSpaceDE/>
        <w:autoSpaceDN/>
        <w:bidi w:val="0"/>
        <w:adjustRightInd/>
        <w:snapToGrid/>
        <w:spacing w:before="0" w:beforeLines="0" w:after="0" w:afterLines="0" w:line="360" w:lineRule="auto"/>
        <w:ind w:firstLine="60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（三）完善废旧物资转运体系。</w:t>
      </w:r>
      <w:r>
        <w:rPr>
          <w:rFonts w:hint="eastAsia" w:ascii="仿宋_GB2312" w:hAnsi="仿宋_GB2312" w:eastAsia="仿宋_GB2312" w:cs="仿宋_GB2312"/>
          <w:sz w:val="32"/>
          <w:szCs w:val="32"/>
        </w:rPr>
        <w:t>按照“大分流、小分类”的基本路径，建立废旧物资与生活垃圾分类、回收、运输相衔接的转运体系，制定废旧物资跨区域调度市级方案，推进各区、县（市）制定属地自行调度计划。再生资源回收运输车辆实行统一车型、统一外观、统一标识、统一登记注册。对获得政府采购企业的回收三轮车，由公安交警部门登记注册，发放号牌，加强通行区域、上路时段等合理路权保障，确保废旧物资回收做到“日收日清”。</w:t>
      </w:r>
    </w:p>
    <w:p>
      <w:pPr>
        <w:pageBreakBefore w:val="0"/>
        <w:kinsoku/>
        <w:wordWrap/>
        <w:overflowPunct/>
        <w:topLinePunct w:val="0"/>
        <w:autoSpaceDE/>
        <w:autoSpaceDN/>
        <w:bidi w:val="0"/>
        <w:adjustRightInd/>
        <w:snapToGrid/>
        <w:spacing w:before="0" w:beforeLines="0" w:after="0" w:afterLines="0" w:line="360" w:lineRule="auto"/>
        <w:ind w:firstLine="60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（四）建立废旧物资逆向回收体系。</w:t>
      </w:r>
      <w:r>
        <w:rPr>
          <w:rFonts w:hint="eastAsia" w:ascii="仿宋_GB2312" w:hAnsi="仿宋_GB2312" w:eastAsia="仿宋_GB2312" w:cs="仿宋_GB2312"/>
          <w:sz w:val="32"/>
          <w:szCs w:val="32"/>
        </w:rPr>
        <w:t>落实强制回收产品和包装物生产者回收责任。深入推进“绿色工厂”建设行动，鼓励橡胶、化纤、啤酒、家居建材等生产企业通过自主回收、联合回收或委托回收等方式，规范回收废弃产品和包装，发展回收、加工、利用一体化模式。广泛开展“无废城市细胞”创建工作，强化物业管理责任，推行酒店、商超、餐饮、景区等经营主体与再生资源回收企业签订回收协议，建立定点定时收运制度，提高废旧物资回收利用率。深化快递业绿色包装试点，鼓励快递企业在校园、社区、写字楼等人流密集区域设置专门的快递包装物回收点，推进快递分拣投递自动化、标准化和信息化建设，推广应用可重复使用中转箱、笼车等设备，促进包装物循环使用。</w:t>
      </w:r>
    </w:p>
    <w:p>
      <w:pPr>
        <w:pageBreakBefore w:val="0"/>
        <w:kinsoku/>
        <w:wordWrap/>
        <w:overflowPunct/>
        <w:topLinePunct w:val="0"/>
        <w:autoSpaceDE/>
        <w:autoSpaceDN/>
        <w:bidi w:val="0"/>
        <w:adjustRightInd/>
        <w:snapToGrid/>
        <w:spacing w:before="0" w:beforeLines="0" w:after="0" w:afterLines="0" w:line="360" w:lineRule="auto"/>
        <w:ind w:firstLine="602"/>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bCs/>
          <w:sz w:val="32"/>
          <w:szCs w:val="32"/>
        </w:rPr>
        <w:t>（五）提升废旧物资回收专业化水平。</w:t>
      </w:r>
      <w:r>
        <w:rPr>
          <w:rFonts w:hint="eastAsia" w:ascii="仿宋_GB2312" w:hAnsi="仿宋_GB2312" w:eastAsia="仿宋_GB2312" w:cs="仿宋_GB2312"/>
          <w:sz w:val="32"/>
          <w:szCs w:val="32"/>
        </w:rPr>
        <w:t>制定发布社区回收和各类分拣标准，适时更新发布再生资源回收指导目录，引导回收企业按照下游再生原料、再生产品相关标准要求，提升废旧物资回收环节预处理能力。落实回收网点“七统一、一规范”要求（即统一标识、统一收购价格、统一计量工具、统一营业时间、统一管理制度、统一着装和规范经营），鼓励物业保洁员、垃圾分类专管员兼职再生资源回收工作，鼓励再生资源回收企业人员兼职垃圾分类指导员。</w:t>
      </w:r>
    </w:p>
    <w:p>
      <w:pPr>
        <w:pStyle w:val="2"/>
        <w:pageBreakBefore w:val="0"/>
        <w:kinsoku/>
        <w:wordWrap/>
        <w:overflowPunct/>
        <w:topLinePunct w:val="0"/>
        <w:autoSpaceDE/>
        <w:autoSpaceDN/>
        <w:bidi w:val="0"/>
        <w:adjustRightInd/>
        <w:snapToGrid/>
        <w:spacing w:before="0" w:beforeLines="0" w:after="0" w:afterLines="0" w:line="360" w:lineRule="auto"/>
        <w:ind w:firstLine="640"/>
        <w:textAlignment w:val="auto"/>
        <w:rPr>
          <w:rFonts w:hint="eastAsia" w:ascii="黑体" w:hAnsi="黑体" w:eastAsia="黑体" w:cs="黑体"/>
          <w:sz w:val="32"/>
          <w:szCs w:val="32"/>
        </w:rPr>
      </w:pPr>
      <w:r>
        <w:rPr>
          <w:rFonts w:hint="eastAsia" w:ascii="黑体" w:hAnsi="黑体" w:eastAsia="黑体" w:cs="黑体"/>
          <w:sz w:val="32"/>
          <w:szCs w:val="32"/>
        </w:rPr>
        <w:t>三、构建完善产业链，提高资源利用效率</w:t>
      </w:r>
    </w:p>
    <w:p>
      <w:pPr>
        <w:pageBreakBefore w:val="0"/>
        <w:kinsoku/>
        <w:wordWrap/>
        <w:overflowPunct/>
        <w:topLinePunct w:val="0"/>
        <w:autoSpaceDE/>
        <w:autoSpaceDN/>
        <w:bidi w:val="0"/>
        <w:adjustRightInd/>
        <w:snapToGrid/>
        <w:spacing w:before="0" w:beforeLines="0" w:after="0" w:afterLines="0" w:line="360" w:lineRule="auto"/>
        <w:ind w:firstLine="60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（六）促进二手商品交易流通。</w:t>
      </w:r>
      <w:r>
        <w:rPr>
          <w:rFonts w:hint="eastAsia" w:ascii="仿宋_GB2312" w:hAnsi="仿宋_GB2312" w:eastAsia="仿宋_GB2312" w:cs="仿宋_GB2312"/>
          <w:sz w:val="32"/>
          <w:szCs w:val="32"/>
        </w:rPr>
        <w:t>鼓励城北汽车城等汽车销售专业市场和汽车销售企业集中地区，规范设置二手汽车交易市场和交易专区。综合考虑生态环境、交通通行等实际条件，研究制定有条件的二手车限迁政策。鼓励电器电子产品、家电、服装、家具、书籍等零售企业利用现有销售网络和线上交易平台规范开展二手商品交易。支持各区、县（市）利用现有旧货市场建设集中规范的“跳蚤市场”，选择居民区、办公区等场所设置寄卖店、寄卖点。鼓励各级学校设置旧书分享角、分享日，促进广大师生旧书交换使用。</w:t>
      </w:r>
    </w:p>
    <w:p>
      <w:pPr>
        <w:pageBreakBefore w:val="0"/>
        <w:kinsoku/>
        <w:wordWrap/>
        <w:overflowPunct/>
        <w:topLinePunct w:val="0"/>
        <w:autoSpaceDE/>
        <w:autoSpaceDN/>
        <w:bidi w:val="0"/>
        <w:adjustRightInd/>
        <w:snapToGrid/>
        <w:spacing w:before="0" w:beforeLines="0" w:after="0" w:afterLines="0" w:line="360" w:lineRule="auto"/>
        <w:ind w:firstLine="60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（七）促进再生资源行业集聚化发展。</w:t>
      </w:r>
      <w:r>
        <w:rPr>
          <w:rFonts w:hint="eastAsia" w:ascii="仿宋_GB2312" w:hAnsi="仿宋_GB2312" w:eastAsia="仿宋_GB2312" w:cs="仿宋_GB2312"/>
          <w:sz w:val="32"/>
          <w:szCs w:val="32"/>
        </w:rPr>
        <w:t>依托桐庐县国家“城市矿产”示范基地，建设再生资源加工利用基地，探索布局再生资源区域交易中心，促进铜、铝、镍等金属深（精）加工等高附加值再生资源加工企业集聚发展，到2025年桐庐县再生资源处理能力达60万吨，实现年销售收入超过300亿元。推进富阳区资源循环利用示范基地建设，推进环境、能源等基础设施共建共享，以废塑料综利用产业为核心，形成各类废弃物回收及资源化利用产业链延伸及耦合的集聚化模式，到2025年，形成3.5万吨再生塑料的深加工能力、200台套资源化处理设备制造能力及15万吨固废分拣能力。统筹推进年产7万吨替代进口铁、铜基新材料智能制造项目（二期）、废玻璃瓶1.5万吨/年资源化利用项目等重点工程，促进全市再生资源规模化、规范化、清洁化利用。到2025年，全市再生资源利用行业总产值达80亿元。</w:t>
      </w:r>
    </w:p>
    <w:p>
      <w:pPr>
        <w:pageBreakBefore w:val="0"/>
        <w:kinsoku/>
        <w:wordWrap/>
        <w:overflowPunct/>
        <w:topLinePunct w:val="0"/>
        <w:autoSpaceDE/>
        <w:autoSpaceDN/>
        <w:bidi w:val="0"/>
        <w:adjustRightInd/>
        <w:snapToGrid/>
        <w:spacing w:before="0" w:beforeLines="0" w:after="0" w:afterLines="0" w:line="360" w:lineRule="auto"/>
        <w:ind w:firstLine="60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（八）实施高端、智能和在役再制造示范工程。</w:t>
      </w:r>
      <w:r>
        <w:rPr>
          <w:rFonts w:hint="eastAsia" w:ascii="仿宋_GB2312" w:hAnsi="仿宋_GB2312" w:eastAsia="仿宋_GB2312" w:cs="仿宋_GB2312"/>
          <w:sz w:val="32"/>
          <w:szCs w:val="32"/>
        </w:rPr>
        <w:t>以钱江经济开发区、萧山经济开发区等平台为载体，发展大型成套设备高端再制造产业。高质量完成浙江长龙航空创新智能维修保障主基地项目，建立飞机再制造和交易中心，推动航空发动机、航空零部件等新兴领域再制造产业发展。积极推广高效无损拆解、绿色清洗、纳米复合成型、三维体积损伤零部件成型等技术，加快发展智能再制造。发挥工业互联网发展优势，聚焦设备早期故障诊断与预警及故障自愈化，提升服役期内设备维护水平，全面发展在役再制造产业。探索制定汽车零部件、电器电子产品、文办设备等再制造产品推荐目录，鼓励在售后维修、保险、租赁等领域推广应用再制造产品。到2025年，再制造产业规模突破100亿元。</w:t>
      </w:r>
    </w:p>
    <w:p>
      <w:pPr>
        <w:pageBreakBefore w:val="0"/>
        <w:kinsoku/>
        <w:wordWrap/>
        <w:overflowPunct/>
        <w:topLinePunct w:val="0"/>
        <w:autoSpaceDE/>
        <w:autoSpaceDN/>
        <w:bidi w:val="0"/>
        <w:adjustRightInd/>
        <w:snapToGrid/>
        <w:spacing w:before="0" w:beforeLines="0" w:after="0" w:afterLines="0" w:line="360" w:lineRule="auto"/>
        <w:ind w:firstLine="60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（九）培育壮大再生资源市场主体。</w:t>
      </w:r>
      <w:r>
        <w:rPr>
          <w:rFonts w:hint="eastAsia" w:ascii="仿宋_GB2312" w:hAnsi="仿宋_GB2312" w:eastAsia="仿宋_GB2312" w:cs="仿宋_GB2312"/>
          <w:sz w:val="32"/>
          <w:szCs w:val="32"/>
        </w:rPr>
        <w:t>在二手汽车、二手电子产品等领域培育权威的鉴定评估机构，扩大二手商品鉴定行业人才规模。引导鼓励回收龙头企业以连锁经营、授权经营等方式整合中小企业和个体经营者，培育一批规模化、集约化、智能化、品牌化的线上和线下融合的再生资源回收龙头骨干企业。引进一批产业竞争力强、技术水平较高的资源综合利用企业，建立覆盖全市范围的资源综合利用处理体系，培育一批资源循环利用技术装备和产品制造企业。到2025年，全市废旧物资回收骨干龙头企业数量达30家以上。</w:t>
      </w:r>
    </w:p>
    <w:p>
      <w:pPr>
        <w:pStyle w:val="2"/>
        <w:pageBreakBefore w:val="0"/>
        <w:kinsoku/>
        <w:wordWrap/>
        <w:overflowPunct/>
        <w:topLinePunct w:val="0"/>
        <w:autoSpaceDE/>
        <w:autoSpaceDN/>
        <w:bidi w:val="0"/>
        <w:adjustRightInd/>
        <w:snapToGrid/>
        <w:spacing w:before="0" w:beforeLines="0" w:after="0" w:afterLines="0" w:line="360" w:lineRule="auto"/>
        <w:ind w:firstLine="640"/>
        <w:textAlignment w:val="auto"/>
        <w:rPr>
          <w:rFonts w:hint="eastAsia" w:ascii="黑体" w:hAnsi="黑体" w:eastAsia="黑体" w:cs="黑体"/>
          <w:sz w:val="32"/>
          <w:szCs w:val="32"/>
        </w:rPr>
      </w:pPr>
      <w:r>
        <w:rPr>
          <w:rFonts w:hint="eastAsia" w:ascii="黑体" w:hAnsi="黑体" w:eastAsia="黑体" w:cs="黑体"/>
          <w:sz w:val="32"/>
          <w:szCs w:val="32"/>
        </w:rPr>
        <w:t>四、强化科技引领，赋能行业创新发展</w:t>
      </w:r>
    </w:p>
    <w:p>
      <w:pPr>
        <w:pageBreakBefore w:val="0"/>
        <w:kinsoku/>
        <w:wordWrap/>
        <w:overflowPunct/>
        <w:topLinePunct w:val="0"/>
        <w:autoSpaceDE/>
        <w:autoSpaceDN/>
        <w:bidi w:val="0"/>
        <w:adjustRightInd/>
        <w:snapToGrid/>
        <w:spacing w:before="0" w:beforeLines="0" w:after="0" w:afterLines="0" w:line="360" w:lineRule="auto"/>
        <w:ind w:firstLine="60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（十）推进“互联网+” 回收利用模式。</w:t>
      </w:r>
      <w:r>
        <w:rPr>
          <w:rFonts w:hint="eastAsia" w:ascii="仿宋_GB2312" w:hAnsi="仿宋_GB2312" w:eastAsia="仿宋_GB2312" w:cs="仿宋_GB2312"/>
          <w:sz w:val="32"/>
          <w:szCs w:val="32"/>
        </w:rPr>
        <w:t>应用二维码和手机APP等互联网技术创新回收模式，鼓励采用上门预约、以旧换新等方式回收再生资源。建设城市智慧环卫系统废旧物资回收利用模块，建设废旧物资分类监管和积分平台，通过建立居民“绿色账户”“低碳账户”等方式，探索对正确分类投放生活垃圾的居民实施积分兑换奖励机制，探索回收再生资源和提供居民日常生活用品相结合的经营模式。支持回收企业运用物联网、大数据和云计算等现代信息技术，构建全链条业务信息平台和回收追溯系统，打造上接回收网络、中接仓储物流、下接利用产业的再生资源供应链。到2025年，全市互联网+再生资源回收企业数量达10家以上。</w:t>
      </w:r>
    </w:p>
    <w:p>
      <w:pPr>
        <w:pageBreakBefore w:val="0"/>
        <w:kinsoku/>
        <w:wordWrap/>
        <w:overflowPunct/>
        <w:topLinePunct w:val="0"/>
        <w:autoSpaceDE/>
        <w:autoSpaceDN/>
        <w:bidi w:val="0"/>
        <w:adjustRightInd/>
        <w:snapToGrid/>
        <w:spacing w:before="0" w:beforeLines="0" w:after="0" w:afterLines="0" w:line="360" w:lineRule="auto"/>
        <w:ind w:firstLine="60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（十一）促进先进技术装备研发应用。</w:t>
      </w:r>
      <w:r>
        <w:rPr>
          <w:rFonts w:hint="eastAsia" w:ascii="仿宋_GB2312" w:hAnsi="仿宋_GB2312" w:eastAsia="仿宋_GB2312" w:cs="仿宋_GB2312"/>
          <w:sz w:val="32"/>
          <w:szCs w:val="32"/>
        </w:rPr>
        <w:t>落实首台（套）产品应用激励政策，加快推动现有再生资源分拣中心、加工企业提质改造，鼓励采用工业机器人、工业互联网等方式开展技术升级和设备更新，全面提升机械化、信息化和智慧化水平。鼓励工业控制技术国家重点实验室、化学工程联合国家重点实验室、浙大高端装备研究院等国家重点实验室、国家技术创新中心、国家企业技术中心加强技术装备研发，在精细拆解、复合材料高效解离、有价金属清洁提取、再制造等领域突破一批共性关键技术和大型成套装备。搭建废旧物资循环利用试点展示平台，加大废旧物资资源化利用、再制造产业等领域新技术、新装备、新模式应用推广力度。</w:t>
      </w:r>
    </w:p>
    <w:p>
      <w:pPr>
        <w:pStyle w:val="2"/>
        <w:pageBreakBefore w:val="0"/>
        <w:kinsoku/>
        <w:wordWrap/>
        <w:overflowPunct/>
        <w:topLinePunct w:val="0"/>
        <w:autoSpaceDE/>
        <w:autoSpaceDN/>
        <w:bidi w:val="0"/>
        <w:adjustRightInd/>
        <w:snapToGrid/>
        <w:spacing w:before="0" w:beforeLines="0" w:after="0" w:afterLines="0" w:line="360" w:lineRule="auto"/>
        <w:ind w:firstLine="640"/>
        <w:textAlignment w:val="auto"/>
        <w:rPr>
          <w:rFonts w:hint="eastAsia" w:ascii="黑体" w:hAnsi="黑体" w:eastAsia="黑体" w:cs="黑体"/>
          <w:sz w:val="32"/>
          <w:szCs w:val="32"/>
        </w:rPr>
      </w:pPr>
      <w:r>
        <w:rPr>
          <w:rFonts w:hint="eastAsia" w:ascii="黑体" w:hAnsi="黑体" w:eastAsia="黑体" w:cs="黑体"/>
          <w:sz w:val="32"/>
          <w:szCs w:val="32"/>
        </w:rPr>
        <w:t>五、实施全过程监管，促进行业规范运营</w:t>
      </w:r>
    </w:p>
    <w:p>
      <w:pPr>
        <w:pageBreakBefore w:val="0"/>
        <w:kinsoku/>
        <w:wordWrap/>
        <w:overflowPunct/>
        <w:topLinePunct w:val="0"/>
        <w:autoSpaceDE/>
        <w:autoSpaceDN/>
        <w:bidi w:val="0"/>
        <w:adjustRightInd/>
        <w:snapToGrid/>
        <w:spacing w:before="0" w:beforeLines="0" w:after="0" w:afterLines="0" w:line="360" w:lineRule="auto"/>
        <w:ind w:firstLine="60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（十二）完善废旧物资统计体系。</w:t>
      </w:r>
      <w:r>
        <w:rPr>
          <w:rFonts w:hint="eastAsia" w:ascii="仿宋_GB2312" w:hAnsi="仿宋_GB2312" w:eastAsia="仿宋_GB2312" w:cs="仿宋_GB2312"/>
          <w:sz w:val="32"/>
          <w:szCs w:val="32"/>
        </w:rPr>
        <w:t>贯彻落实废旧物资循环利用统计制度，建立完善基础数据统计、核算、报告制度。开展废旧物资产生量调查和分类基础信息普查，构建覆盖生活垃圾、工业固废等领域的大数据管理平台。建立并完善再生资源回收重点联系企业制度，及时掌握行业发展情况和发展趋势。</w:t>
      </w:r>
    </w:p>
    <w:p>
      <w:pPr>
        <w:pageBreakBefore w:val="0"/>
        <w:kinsoku/>
        <w:wordWrap/>
        <w:overflowPunct/>
        <w:topLinePunct w:val="0"/>
        <w:autoSpaceDE/>
        <w:autoSpaceDN/>
        <w:bidi w:val="0"/>
        <w:adjustRightInd/>
        <w:snapToGrid/>
        <w:spacing w:before="0" w:beforeLines="0" w:after="0" w:afterLines="0" w:line="360" w:lineRule="auto"/>
        <w:ind w:firstLine="60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（十三）强化行业秩序监管。</w:t>
      </w:r>
      <w:r>
        <w:rPr>
          <w:rFonts w:hint="eastAsia" w:ascii="仿宋_GB2312" w:hAnsi="仿宋_GB2312" w:eastAsia="仿宋_GB2312" w:cs="仿宋_GB2312"/>
          <w:sz w:val="32"/>
          <w:szCs w:val="32"/>
        </w:rPr>
        <w:t>强化再生资源回收利用各环节的污染防治工作，依法查处污染环境的企业及无照经营行为，禁止占道经营、乱搭乱建，规范市场秩序，杜绝违法经营，营造统一规范、竞争有序的市场环境和回收秩序。依法打击非法拆解处理报废汽车、废弃电器电子产品等行为。严厉打击再生资源回收、二手商品交易中的非法交易、假冒伪劣、诈骗等违法违规行为。加强计算机类、通讯类和消费类电子产品二手交易的信息安全监管，防范用户信息泄露及恶意恢复。</w:t>
      </w:r>
    </w:p>
    <w:p>
      <w:pPr>
        <w:pageBreakBefore w:val="0"/>
        <w:kinsoku/>
        <w:wordWrap/>
        <w:overflowPunct/>
        <w:topLinePunct w:val="0"/>
        <w:autoSpaceDE/>
        <w:autoSpaceDN/>
        <w:bidi w:val="0"/>
        <w:adjustRightInd/>
        <w:snapToGrid/>
        <w:spacing w:before="0" w:beforeLines="0" w:after="0" w:afterLines="0" w:line="360" w:lineRule="auto"/>
        <w:ind w:firstLine="60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（十四）推进企业信用体系建设。</w:t>
      </w:r>
      <w:r>
        <w:rPr>
          <w:rFonts w:hint="eastAsia" w:ascii="仿宋_GB2312" w:hAnsi="仿宋_GB2312" w:eastAsia="仿宋_GB2312" w:cs="仿宋_GB2312"/>
          <w:sz w:val="32"/>
          <w:szCs w:val="32"/>
        </w:rPr>
        <w:t>先期探索推进商超、餐饮单位等非居民用户纳入废旧物资分类回收信用体系，并逐步向居民用户推广。在回收企业、加工生产企业等市场主体建立企业信用档案，在行政许可、公共采购、金融支撑、评先创优和资质等级评定等管理工作中，根据企业环境信用状况予以支持或限制。</w:t>
      </w:r>
    </w:p>
    <w:p>
      <w:pPr>
        <w:pStyle w:val="2"/>
        <w:pageBreakBefore w:val="0"/>
        <w:kinsoku/>
        <w:wordWrap/>
        <w:overflowPunct/>
        <w:topLinePunct w:val="0"/>
        <w:autoSpaceDE/>
        <w:autoSpaceDN/>
        <w:bidi w:val="0"/>
        <w:adjustRightInd/>
        <w:snapToGrid/>
        <w:spacing w:before="0" w:beforeLines="0" w:after="0" w:afterLines="0" w:line="360" w:lineRule="auto"/>
        <w:ind w:firstLine="640"/>
        <w:textAlignment w:val="auto"/>
        <w:rPr>
          <w:rFonts w:hint="eastAsia" w:ascii="黑体" w:hAnsi="黑体" w:eastAsia="黑体" w:cs="黑体"/>
          <w:sz w:val="32"/>
          <w:szCs w:val="32"/>
        </w:rPr>
      </w:pPr>
      <w:r>
        <w:rPr>
          <w:rFonts w:hint="eastAsia" w:ascii="黑体" w:hAnsi="黑体" w:eastAsia="黑体" w:cs="黑体"/>
          <w:sz w:val="32"/>
          <w:szCs w:val="32"/>
        </w:rPr>
        <w:t>六、夯实全要素保障，加大政策扶持力度</w:t>
      </w:r>
    </w:p>
    <w:p>
      <w:pPr>
        <w:pageBreakBefore w:val="0"/>
        <w:kinsoku/>
        <w:wordWrap/>
        <w:overflowPunct/>
        <w:topLinePunct w:val="0"/>
        <w:autoSpaceDE/>
        <w:autoSpaceDN/>
        <w:bidi w:val="0"/>
        <w:adjustRightInd/>
        <w:snapToGrid/>
        <w:spacing w:before="0" w:beforeLines="0" w:after="0" w:afterLines="0" w:line="360" w:lineRule="auto"/>
        <w:ind w:firstLine="60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（十五）支持回收网络设施建设。</w:t>
      </w:r>
      <w:r>
        <w:rPr>
          <w:rFonts w:hint="eastAsia" w:ascii="仿宋_GB2312" w:hAnsi="仿宋_GB2312" w:eastAsia="仿宋_GB2312" w:cs="仿宋_GB2312"/>
          <w:sz w:val="32"/>
          <w:szCs w:val="32"/>
        </w:rPr>
        <w:t>继续延续市委办公厅 市政府办公厅《关于推进再生资源回收的实施意见》的财政支持政策。</w:t>
      </w:r>
    </w:p>
    <w:p>
      <w:pPr>
        <w:pageBreakBefore w:val="0"/>
        <w:kinsoku/>
        <w:wordWrap/>
        <w:overflowPunct/>
        <w:topLinePunct w:val="0"/>
        <w:autoSpaceDE/>
        <w:autoSpaceDN/>
        <w:bidi w:val="0"/>
        <w:adjustRightInd/>
        <w:snapToGrid/>
        <w:spacing w:before="0" w:beforeLines="0" w:after="0" w:afterLines="0" w:line="360" w:lineRule="auto"/>
        <w:ind w:firstLine="60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（十六）支持行业持续健康发展。</w:t>
      </w:r>
      <w:r>
        <w:rPr>
          <w:rFonts w:hint="eastAsia" w:ascii="仿宋_GB2312" w:hAnsi="仿宋_GB2312" w:eastAsia="仿宋_GB2312" w:cs="仿宋_GB2312"/>
          <w:sz w:val="32"/>
          <w:szCs w:val="32"/>
        </w:rPr>
        <w:t>认真落实国家对资源综合利用的税收优惠政策，规范经营主体纳税行为。鼓励各区、县（市）采取特许经营、政府购买服务等方式，授权专业化企业开展废旧物资回收业务。制定《杭州市低附加值可回收物指导目录》，</w:t>
      </w:r>
      <w:r>
        <w:rPr>
          <w:rFonts w:hint="eastAsia" w:ascii="仿宋_GB2312" w:hAnsi="仿宋_GB2312" w:cs="仿宋_GB2312"/>
          <w:sz w:val="32"/>
          <w:szCs w:val="32"/>
          <w:lang w:eastAsia="zh-CN"/>
        </w:rPr>
        <w:t>鼓励各区、县（市）</w:t>
      </w:r>
      <w:r>
        <w:rPr>
          <w:rFonts w:hint="eastAsia" w:ascii="仿宋_GB2312" w:hAnsi="仿宋_GB2312" w:eastAsia="仿宋_GB2312" w:cs="仿宋_GB2312"/>
          <w:sz w:val="32"/>
          <w:szCs w:val="32"/>
        </w:rPr>
        <w:t>分品类明确低附加值可回收物回收补贴</w:t>
      </w:r>
      <w:r>
        <w:rPr>
          <w:rFonts w:hint="eastAsia" w:ascii="仿宋_GB2312" w:hAnsi="仿宋_GB2312" w:cs="仿宋_GB2312"/>
          <w:sz w:val="32"/>
          <w:szCs w:val="32"/>
          <w:lang w:eastAsia="zh-CN"/>
        </w:rPr>
        <w:t>政策</w:t>
      </w:r>
      <w:r>
        <w:rPr>
          <w:rFonts w:hint="eastAsia" w:ascii="仿宋_GB2312" w:hAnsi="仿宋_GB2312" w:eastAsia="仿宋_GB2312" w:cs="仿宋_GB2312"/>
          <w:sz w:val="32"/>
          <w:szCs w:val="32"/>
        </w:rPr>
        <w:t>。加大政府绿色采购力度，积极采购符合标准的再生资源产品。</w:t>
      </w:r>
    </w:p>
    <w:p>
      <w:pPr>
        <w:pageBreakBefore w:val="0"/>
        <w:kinsoku/>
        <w:wordWrap/>
        <w:overflowPunct/>
        <w:topLinePunct w:val="0"/>
        <w:autoSpaceDE/>
        <w:autoSpaceDN/>
        <w:bidi w:val="0"/>
        <w:adjustRightInd/>
        <w:snapToGrid/>
        <w:spacing w:before="0" w:beforeLines="0" w:after="0" w:afterLines="0" w:line="360" w:lineRule="auto"/>
        <w:ind w:firstLine="60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（十七）加大投资金融政策支持力度。</w:t>
      </w:r>
      <w:r>
        <w:rPr>
          <w:rFonts w:hint="eastAsia" w:ascii="仿宋_GB2312" w:hAnsi="仿宋_GB2312" w:eastAsia="仿宋_GB2312" w:cs="仿宋_GB2312"/>
          <w:sz w:val="32"/>
          <w:szCs w:val="32"/>
        </w:rPr>
        <w:t>深化产融对接服务，用好产融合作云洽会等平台，鼓励金融机构对废旧物资循环利用企业和重点项目在信用评级、贷款准入、贷款授信和利率优惠等方面予以重点支持。拓宽企业融资渠道，鼓励具备条件的项目开展基础设施领域不动产投资信托基金（REITs）试点。</w:t>
      </w:r>
    </w:p>
    <w:p>
      <w:pPr>
        <w:pageBreakBefore w:val="0"/>
        <w:kinsoku/>
        <w:wordWrap/>
        <w:overflowPunct/>
        <w:topLinePunct w:val="0"/>
        <w:autoSpaceDE/>
        <w:autoSpaceDN/>
        <w:bidi w:val="0"/>
        <w:adjustRightInd/>
        <w:snapToGrid/>
        <w:spacing w:before="0" w:beforeLines="0" w:after="0" w:afterLines="0" w:line="360" w:lineRule="auto"/>
        <w:ind w:firstLine="60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（十八）加强土地要素支持力度。</w:t>
      </w:r>
      <w:r>
        <w:rPr>
          <w:rFonts w:hint="eastAsia" w:ascii="仿宋_GB2312" w:hAnsi="仿宋_GB2312" w:eastAsia="仿宋_GB2312" w:cs="仿宋_GB2312"/>
          <w:bCs/>
          <w:sz w:val="32"/>
          <w:szCs w:val="32"/>
        </w:rPr>
        <w:t>各区、县（市）要合理规划建设分拣中心和再生资源利用项目，</w:t>
      </w:r>
      <w:r>
        <w:rPr>
          <w:rFonts w:hint="eastAsia" w:ascii="仿宋_GB2312" w:hAnsi="仿宋_GB2312" w:eastAsia="仿宋_GB2312" w:cs="仿宋_GB2312"/>
          <w:sz w:val="32"/>
          <w:szCs w:val="32"/>
        </w:rPr>
        <w:t>新建分拣中心项目纳入杭州市十四五环境卫生专项规划，优先解决土地指标。按照土地节约集约利用的要求，加大对再生资源加工利用产业基地的支持力度，在土地利用年度计划内予以优先安排，支持工业企业利用存量厂房和土地建设废旧物分拣中心、分类减量利用综合体、二手交易市场等项目。按照“拆一还一”原则，优先保障拆除的回收网点和分拣中心用地需求。</w:t>
      </w:r>
    </w:p>
    <w:p>
      <w:pPr>
        <w:pStyle w:val="2"/>
        <w:pageBreakBefore w:val="0"/>
        <w:kinsoku/>
        <w:wordWrap/>
        <w:overflowPunct/>
        <w:topLinePunct w:val="0"/>
        <w:autoSpaceDE/>
        <w:autoSpaceDN/>
        <w:bidi w:val="0"/>
        <w:adjustRightInd/>
        <w:snapToGrid/>
        <w:spacing w:before="0" w:beforeLines="0" w:after="0" w:afterLines="0" w:line="360" w:lineRule="auto"/>
        <w:ind w:firstLine="640"/>
        <w:textAlignment w:val="auto"/>
        <w:rPr>
          <w:rFonts w:hint="eastAsia" w:ascii="黑体" w:hAnsi="黑体" w:eastAsia="黑体" w:cs="黑体"/>
          <w:sz w:val="32"/>
          <w:szCs w:val="32"/>
        </w:rPr>
      </w:pPr>
      <w:r>
        <w:rPr>
          <w:rFonts w:hint="eastAsia" w:ascii="黑体" w:hAnsi="黑体" w:eastAsia="黑体" w:cs="黑体"/>
          <w:sz w:val="32"/>
          <w:szCs w:val="32"/>
        </w:rPr>
        <w:t>七、保障措施</w:t>
      </w:r>
    </w:p>
    <w:p>
      <w:pPr>
        <w:pStyle w:val="3"/>
        <w:pageBreakBefore w:val="0"/>
        <w:kinsoku/>
        <w:wordWrap/>
        <w:overflowPunct/>
        <w:topLinePunct w:val="0"/>
        <w:autoSpaceDE/>
        <w:autoSpaceDN/>
        <w:bidi w:val="0"/>
        <w:adjustRightInd/>
        <w:snapToGrid/>
        <w:spacing w:before="0" w:beforeLines="0" w:after="0" w:afterLines="0" w:line="360" w:lineRule="auto"/>
        <w:ind w:firstLine="60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（十九）加强组织领导</w:t>
      </w:r>
    </w:p>
    <w:p>
      <w:pPr>
        <w:pageBreakBefore w:val="0"/>
        <w:kinsoku/>
        <w:wordWrap/>
        <w:overflowPunct/>
        <w:topLinePunct w:val="0"/>
        <w:autoSpaceDE/>
        <w:autoSpaceDN/>
        <w:bidi w:val="0"/>
        <w:adjustRightInd/>
        <w:snapToGrid/>
        <w:spacing w:before="0" w:beforeLines="0" w:after="0" w:afterLines="0" w:line="360" w:lineRule="auto"/>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分管市领导担任召集人，市发改委、市商务局、市城管局、市生态环境局、市财政局、市规资局等多部门参加的联席会议制度，协调解决建设过程中的重大问题有效整合各方资源、形成工作合力。各部门、区、县（市）要高度重视废旧物资循环利用体系建设工作，切实加强领导，研究出台相关政策、分解落实年度任务、制定年度实施计划。充分发挥杭州市再生资源物资行业协会作用，积极引导推进废旧物资回收利用工作。</w:t>
      </w:r>
      <w:bookmarkStart w:id="0" w:name="_GoBack"/>
      <w:bookmarkEnd w:id="0"/>
    </w:p>
    <w:p>
      <w:pPr>
        <w:pStyle w:val="3"/>
        <w:pageBreakBefore w:val="0"/>
        <w:kinsoku/>
        <w:wordWrap/>
        <w:overflowPunct/>
        <w:topLinePunct w:val="0"/>
        <w:autoSpaceDE/>
        <w:autoSpaceDN/>
        <w:bidi w:val="0"/>
        <w:adjustRightInd/>
        <w:snapToGrid/>
        <w:spacing w:before="0" w:beforeLines="0" w:after="0" w:afterLines="0" w:line="360" w:lineRule="auto"/>
        <w:ind w:firstLine="60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（二十）强化工作落实</w:t>
      </w:r>
    </w:p>
    <w:p>
      <w:pPr>
        <w:pageBreakBefore w:val="0"/>
        <w:kinsoku/>
        <w:wordWrap/>
        <w:overflowPunct/>
        <w:topLinePunct w:val="0"/>
        <w:autoSpaceDE/>
        <w:autoSpaceDN/>
        <w:bidi w:val="0"/>
        <w:adjustRightInd/>
        <w:snapToGrid/>
        <w:spacing w:before="0" w:beforeLines="0" w:after="0" w:afterLines="0" w:line="360" w:lineRule="auto"/>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再生资源（废旧物资）回收管理工作领导小组办公室、市治理固体废弃物工作领导小组办公室要定期对各地回收利用体系建设进展及绩效情况进行督察通报。各地回收利用体系建设、回收绩效等情况纳入市“治废”目标考核体系，废旧物资回收网络建设纳入垃圾分类小区建设内容，并作为建设绿色社区、绿色学校的条件之一。</w:t>
      </w:r>
    </w:p>
    <w:p>
      <w:pPr>
        <w:pStyle w:val="3"/>
        <w:pageBreakBefore w:val="0"/>
        <w:kinsoku/>
        <w:wordWrap/>
        <w:overflowPunct/>
        <w:topLinePunct w:val="0"/>
        <w:autoSpaceDE/>
        <w:autoSpaceDN/>
        <w:bidi w:val="0"/>
        <w:adjustRightInd/>
        <w:snapToGrid/>
        <w:spacing w:before="0" w:beforeLines="0" w:after="0" w:afterLines="0" w:line="360" w:lineRule="auto"/>
        <w:ind w:firstLine="60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（二十一）营造良好氛围</w:t>
      </w:r>
    </w:p>
    <w:p>
      <w:pPr>
        <w:pageBreakBefore w:val="0"/>
        <w:kinsoku/>
        <w:wordWrap/>
        <w:overflowPunct/>
        <w:topLinePunct w:val="0"/>
        <w:autoSpaceDE/>
        <w:autoSpaceDN/>
        <w:bidi w:val="0"/>
        <w:adjustRightInd/>
        <w:snapToGrid/>
        <w:spacing w:before="0" w:beforeLines="0" w:after="0" w:afterLines="0" w:line="360" w:lineRule="auto"/>
        <w:ind w:firstLine="600"/>
        <w:textAlignment w:val="auto"/>
        <w:rPr>
          <w:rFonts w:cs="Times New Roman"/>
        </w:rPr>
        <w:sectPr>
          <w:footerReference r:id="rId11" w:type="default"/>
          <w:pgSz w:w="11906" w:h="16838"/>
          <w:pgMar w:top="1440" w:right="1800" w:bottom="1440" w:left="1800" w:header="851" w:footer="324" w:gutter="0"/>
          <w:pgNumType w:start="1"/>
          <w:cols w:space="425" w:num="1"/>
          <w:docGrid w:type="lines" w:linePitch="312" w:charSpace="0"/>
        </w:sectPr>
      </w:pPr>
      <w:r>
        <w:rPr>
          <w:rFonts w:hint="eastAsia" w:ascii="仿宋_GB2312" w:hAnsi="仿宋_GB2312" w:eastAsia="仿宋_GB2312" w:cs="仿宋_GB2312"/>
          <w:sz w:val="32"/>
          <w:szCs w:val="32"/>
        </w:rPr>
        <w:t>开展多种形势的主题宣传活动，大力推广废旧物资试点场景的先进经验以及新模式、服务好、回收利用效果明显的再生资源回收企业、回收网点、分拣中心，推动社会理解、支持和参与废旧物资回收工作，形成促进废旧物资循环利用的良好氛围。</w:t>
      </w:r>
    </w:p>
    <w:p>
      <w:pPr>
        <w:spacing w:before="204" w:after="204"/>
        <w:ind w:left="0" w:leftChars="0" w:firstLine="0" w:firstLineChars="0"/>
        <w:jc w:val="both"/>
        <w:rPr>
          <w:rFonts w:eastAsia="黑体" w:cs="Times New Roman"/>
          <w:sz w:val="36"/>
          <w:szCs w:val="36"/>
        </w:rPr>
        <w:sectPr>
          <w:pgSz w:w="16838" w:h="11906" w:orient="landscape"/>
          <w:pgMar w:top="1800" w:right="1440" w:bottom="1800" w:left="1440" w:header="851" w:footer="992" w:gutter="0"/>
          <w:cols w:space="425" w:num="1"/>
          <w:docGrid w:type="lines" w:linePitch="408" w:charSpace="0"/>
        </w:sectPr>
      </w:pPr>
    </w:p>
    <w:p>
      <w:pPr>
        <w:spacing w:before="204" w:after="204" w:line="360" w:lineRule="auto"/>
        <w:ind w:firstLine="720"/>
        <w:jc w:val="left"/>
        <w:rPr>
          <w:rFonts w:eastAsia="黑体" w:cs="Times New Roman"/>
          <w:sz w:val="36"/>
          <w:szCs w:val="36"/>
        </w:rPr>
      </w:pPr>
    </w:p>
    <w:sectPr>
      <w:pgSz w:w="11906" w:h="16838"/>
      <w:pgMar w:top="1440" w:right="1800" w:bottom="1440" w:left="1800" w:header="851" w:footer="992" w:gutter="0"/>
      <w:cols w:space="425" w:num="1"/>
      <w:docGrid w:type="lines"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00"/>
      </w:pPr>
      <w:r>
        <w:separator/>
      </w:r>
    </w:p>
  </w:endnote>
  <w:endnote w:type="continuationSeparator" w:id="1">
    <w:p>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Droid Sans Fallback">
    <w:altName w:val="Segoe UI"/>
    <w:panose1 w:val="00000000000000000000"/>
    <w:charset w:val="00"/>
    <w:family w:val="swiss"/>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120" w:after="120"/>
      <w:ind w:firstLine="360"/>
      <w:jc w:val="center"/>
    </w:pPr>
  </w:p>
  <w:p>
    <w:pPr>
      <w:pStyle w:val="9"/>
      <w:spacing w:before="120"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120"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120" w:after="12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3638782"/>
    </w:sdtPr>
    <w:sdtContent>
      <w:p>
        <w:pPr>
          <w:pStyle w:val="9"/>
          <w:spacing w:before="120" w:after="120"/>
          <w:ind w:firstLine="360"/>
          <w:jc w:val="center"/>
        </w:pPr>
        <w:r>
          <w:fldChar w:fldCharType="begin"/>
        </w:r>
        <w:r>
          <w:instrText xml:space="preserve">PAGE   \* MERGEFORMAT</w:instrText>
        </w:r>
        <w:r>
          <w:fldChar w:fldCharType="separate"/>
        </w:r>
        <w:r>
          <w:rPr>
            <w:lang w:val="zh-CN"/>
          </w:rPr>
          <w:t>1</w:t>
        </w:r>
        <w:r>
          <w:fldChar w:fldCharType="end"/>
        </w:r>
      </w:p>
    </w:sdtContent>
  </w:sdt>
  <w:p>
    <w:pPr>
      <w:pStyle w:val="9"/>
      <w:spacing w:before="120" w:after="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ind w:firstLine="600"/>
      </w:pPr>
      <w:r>
        <w:separator/>
      </w:r>
    </w:p>
  </w:footnote>
  <w:footnote w:type="continuationSeparator" w:id="1">
    <w:p>
      <w:pPr>
        <w:spacing w:before="0" w:after="0"/>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spacing w:before="120" w:after="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120" w:after="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120" w:after="12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0"/>
  <w:drawingGridVerticalSpacing w:val="204"/>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79"/>
    <w:rsid w:val="0002166B"/>
    <w:rsid w:val="00025387"/>
    <w:rsid w:val="00034CFF"/>
    <w:rsid w:val="00035B8C"/>
    <w:rsid w:val="0004347B"/>
    <w:rsid w:val="000533FF"/>
    <w:rsid w:val="00054D6A"/>
    <w:rsid w:val="00061124"/>
    <w:rsid w:val="00071EC3"/>
    <w:rsid w:val="0007494D"/>
    <w:rsid w:val="00084FB0"/>
    <w:rsid w:val="00086996"/>
    <w:rsid w:val="000A1F32"/>
    <w:rsid w:val="000A2249"/>
    <w:rsid w:val="000A3805"/>
    <w:rsid w:val="000B65A6"/>
    <w:rsid w:val="000D329A"/>
    <w:rsid w:val="000D337F"/>
    <w:rsid w:val="000D6A88"/>
    <w:rsid w:val="000E637F"/>
    <w:rsid w:val="000F4D65"/>
    <w:rsid w:val="000F4F3E"/>
    <w:rsid w:val="001003A5"/>
    <w:rsid w:val="00103A3D"/>
    <w:rsid w:val="00106C95"/>
    <w:rsid w:val="001171C3"/>
    <w:rsid w:val="00117854"/>
    <w:rsid w:val="00120B9D"/>
    <w:rsid w:val="00121FC1"/>
    <w:rsid w:val="00125DA5"/>
    <w:rsid w:val="00141C15"/>
    <w:rsid w:val="00144E1B"/>
    <w:rsid w:val="001450C7"/>
    <w:rsid w:val="00150D5D"/>
    <w:rsid w:val="00155074"/>
    <w:rsid w:val="00155CF1"/>
    <w:rsid w:val="00160C06"/>
    <w:rsid w:val="001620B5"/>
    <w:rsid w:val="0016370E"/>
    <w:rsid w:val="00165EBE"/>
    <w:rsid w:val="001679F5"/>
    <w:rsid w:val="0017059D"/>
    <w:rsid w:val="001850C7"/>
    <w:rsid w:val="001A0E1B"/>
    <w:rsid w:val="001A6593"/>
    <w:rsid w:val="001B078C"/>
    <w:rsid w:val="001B6D16"/>
    <w:rsid w:val="001C0083"/>
    <w:rsid w:val="001C2D9F"/>
    <w:rsid w:val="001C3AFA"/>
    <w:rsid w:val="001C734D"/>
    <w:rsid w:val="001D11E4"/>
    <w:rsid w:val="001D14F7"/>
    <w:rsid w:val="001D40A8"/>
    <w:rsid w:val="001D5BDC"/>
    <w:rsid w:val="001E4727"/>
    <w:rsid w:val="001F4343"/>
    <w:rsid w:val="0020136C"/>
    <w:rsid w:val="0021758C"/>
    <w:rsid w:val="002226B8"/>
    <w:rsid w:val="00230D87"/>
    <w:rsid w:val="002317D8"/>
    <w:rsid w:val="0023585B"/>
    <w:rsid w:val="002400F1"/>
    <w:rsid w:val="00254F68"/>
    <w:rsid w:val="00255364"/>
    <w:rsid w:val="00260DE8"/>
    <w:rsid w:val="002643F8"/>
    <w:rsid w:val="002906D1"/>
    <w:rsid w:val="002A04B2"/>
    <w:rsid w:val="002A4758"/>
    <w:rsid w:val="002B72A5"/>
    <w:rsid w:val="002C08FA"/>
    <w:rsid w:val="002D333A"/>
    <w:rsid w:val="002F78FD"/>
    <w:rsid w:val="00304AB1"/>
    <w:rsid w:val="003179E3"/>
    <w:rsid w:val="00327501"/>
    <w:rsid w:val="003319DD"/>
    <w:rsid w:val="00334350"/>
    <w:rsid w:val="003551DF"/>
    <w:rsid w:val="00362E5B"/>
    <w:rsid w:val="00370FB2"/>
    <w:rsid w:val="003724F8"/>
    <w:rsid w:val="003819A5"/>
    <w:rsid w:val="00383FCD"/>
    <w:rsid w:val="0039269F"/>
    <w:rsid w:val="00397917"/>
    <w:rsid w:val="003A2C65"/>
    <w:rsid w:val="003A423B"/>
    <w:rsid w:val="003A7AB4"/>
    <w:rsid w:val="003C4780"/>
    <w:rsid w:val="003C53A7"/>
    <w:rsid w:val="003D15F8"/>
    <w:rsid w:val="003D1D87"/>
    <w:rsid w:val="003D570C"/>
    <w:rsid w:val="003E4424"/>
    <w:rsid w:val="003F274C"/>
    <w:rsid w:val="00402EA0"/>
    <w:rsid w:val="00404811"/>
    <w:rsid w:val="00406550"/>
    <w:rsid w:val="00410E8D"/>
    <w:rsid w:val="00432606"/>
    <w:rsid w:val="0043324A"/>
    <w:rsid w:val="004345F6"/>
    <w:rsid w:val="0045144A"/>
    <w:rsid w:val="004521D9"/>
    <w:rsid w:val="00461432"/>
    <w:rsid w:val="00473A9E"/>
    <w:rsid w:val="00475EE5"/>
    <w:rsid w:val="00486F6E"/>
    <w:rsid w:val="004950AE"/>
    <w:rsid w:val="004975F7"/>
    <w:rsid w:val="004A77B9"/>
    <w:rsid w:val="004B006B"/>
    <w:rsid w:val="004B74B3"/>
    <w:rsid w:val="004C55FD"/>
    <w:rsid w:val="004C6F81"/>
    <w:rsid w:val="004D57F1"/>
    <w:rsid w:val="004E51DF"/>
    <w:rsid w:val="004F0F82"/>
    <w:rsid w:val="004F423F"/>
    <w:rsid w:val="004F6897"/>
    <w:rsid w:val="00503044"/>
    <w:rsid w:val="00505C46"/>
    <w:rsid w:val="0052297C"/>
    <w:rsid w:val="00526DA9"/>
    <w:rsid w:val="00530326"/>
    <w:rsid w:val="00541A29"/>
    <w:rsid w:val="00546CB8"/>
    <w:rsid w:val="005635F7"/>
    <w:rsid w:val="00563B11"/>
    <w:rsid w:val="005645AD"/>
    <w:rsid w:val="00572E66"/>
    <w:rsid w:val="005750F0"/>
    <w:rsid w:val="00575E1C"/>
    <w:rsid w:val="00576F8F"/>
    <w:rsid w:val="005774D3"/>
    <w:rsid w:val="005A1DCE"/>
    <w:rsid w:val="005A6439"/>
    <w:rsid w:val="005B0EB9"/>
    <w:rsid w:val="005B57BA"/>
    <w:rsid w:val="005B7B7E"/>
    <w:rsid w:val="005C27A0"/>
    <w:rsid w:val="005C52B0"/>
    <w:rsid w:val="005D549A"/>
    <w:rsid w:val="005E2DCB"/>
    <w:rsid w:val="005F1626"/>
    <w:rsid w:val="00614DFF"/>
    <w:rsid w:val="00621C18"/>
    <w:rsid w:val="00625547"/>
    <w:rsid w:val="006267CF"/>
    <w:rsid w:val="00630E8E"/>
    <w:rsid w:val="0065648F"/>
    <w:rsid w:val="006677DA"/>
    <w:rsid w:val="00675479"/>
    <w:rsid w:val="00675EBD"/>
    <w:rsid w:val="006826A2"/>
    <w:rsid w:val="00683198"/>
    <w:rsid w:val="00691967"/>
    <w:rsid w:val="006A5932"/>
    <w:rsid w:val="006B674A"/>
    <w:rsid w:val="006B72F7"/>
    <w:rsid w:val="006C1E6E"/>
    <w:rsid w:val="006C308C"/>
    <w:rsid w:val="006D067D"/>
    <w:rsid w:val="006D3D72"/>
    <w:rsid w:val="006D4129"/>
    <w:rsid w:val="006E2F33"/>
    <w:rsid w:val="006E6FAA"/>
    <w:rsid w:val="00704098"/>
    <w:rsid w:val="0071024C"/>
    <w:rsid w:val="007210F7"/>
    <w:rsid w:val="007326E8"/>
    <w:rsid w:val="007336AB"/>
    <w:rsid w:val="00733F60"/>
    <w:rsid w:val="007341D2"/>
    <w:rsid w:val="007424F9"/>
    <w:rsid w:val="00750E18"/>
    <w:rsid w:val="00757F50"/>
    <w:rsid w:val="0076226B"/>
    <w:rsid w:val="00766FDD"/>
    <w:rsid w:val="00771746"/>
    <w:rsid w:val="00780A52"/>
    <w:rsid w:val="00781107"/>
    <w:rsid w:val="0078667F"/>
    <w:rsid w:val="007974F2"/>
    <w:rsid w:val="007A650F"/>
    <w:rsid w:val="007C1145"/>
    <w:rsid w:val="007C1C23"/>
    <w:rsid w:val="007D3869"/>
    <w:rsid w:val="007D3886"/>
    <w:rsid w:val="007D4A93"/>
    <w:rsid w:val="007D5615"/>
    <w:rsid w:val="007D6408"/>
    <w:rsid w:val="00806305"/>
    <w:rsid w:val="00816D51"/>
    <w:rsid w:val="00831B31"/>
    <w:rsid w:val="00833DEF"/>
    <w:rsid w:val="00834643"/>
    <w:rsid w:val="00850018"/>
    <w:rsid w:val="008501AA"/>
    <w:rsid w:val="0085094C"/>
    <w:rsid w:val="00852E64"/>
    <w:rsid w:val="00853AA7"/>
    <w:rsid w:val="008565CA"/>
    <w:rsid w:val="00875F3E"/>
    <w:rsid w:val="00882B16"/>
    <w:rsid w:val="00886B91"/>
    <w:rsid w:val="008871AF"/>
    <w:rsid w:val="0089032D"/>
    <w:rsid w:val="008942E1"/>
    <w:rsid w:val="00894B2C"/>
    <w:rsid w:val="008A106D"/>
    <w:rsid w:val="008A575A"/>
    <w:rsid w:val="008B6C61"/>
    <w:rsid w:val="008C0B9B"/>
    <w:rsid w:val="008C2874"/>
    <w:rsid w:val="008D26C2"/>
    <w:rsid w:val="008D4444"/>
    <w:rsid w:val="008E6CD5"/>
    <w:rsid w:val="008E76AB"/>
    <w:rsid w:val="008F5663"/>
    <w:rsid w:val="00914A0B"/>
    <w:rsid w:val="00917BC0"/>
    <w:rsid w:val="00933CF1"/>
    <w:rsid w:val="00943CE3"/>
    <w:rsid w:val="00943D88"/>
    <w:rsid w:val="00947536"/>
    <w:rsid w:val="009572A7"/>
    <w:rsid w:val="00960E5A"/>
    <w:rsid w:val="00966997"/>
    <w:rsid w:val="00973B18"/>
    <w:rsid w:val="00977944"/>
    <w:rsid w:val="00996FD5"/>
    <w:rsid w:val="009973FA"/>
    <w:rsid w:val="009A21A1"/>
    <w:rsid w:val="009B1C33"/>
    <w:rsid w:val="009B3F3F"/>
    <w:rsid w:val="009C33D2"/>
    <w:rsid w:val="009C55BC"/>
    <w:rsid w:val="009C7AF3"/>
    <w:rsid w:val="009E4937"/>
    <w:rsid w:val="009E7FB1"/>
    <w:rsid w:val="009F00B0"/>
    <w:rsid w:val="009F1E50"/>
    <w:rsid w:val="00A071FE"/>
    <w:rsid w:val="00A121B3"/>
    <w:rsid w:val="00A166C7"/>
    <w:rsid w:val="00A176B3"/>
    <w:rsid w:val="00A20A6C"/>
    <w:rsid w:val="00A27B66"/>
    <w:rsid w:val="00A37B8B"/>
    <w:rsid w:val="00A54411"/>
    <w:rsid w:val="00A54810"/>
    <w:rsid w:val="00A8175B"/>
    <w:rsid w:val="00A83872"/>
    <w:rsid w:val="00A83DC3"/>
    <w:rsid w:val="00A8743F"/>
    <w:rsid w:val="00A91365"/>
    <w:rsid w:val="00A97954"/>
    <w:rsid w:val="00AA089A"/>
    <w:rsid w:val="00AA221B"/>
    <w:rsid w:val="00AA779C"/>
    <w:rsid w:val="00AB4B52"/>
    <w:rsid w:val="00AC4DAE"/>
    <w:rsid w:val="00AD6517"/>
    <w:rsid w:val="00AD739E"/>
    <w:rsid w:val="00B01459"/>
    <w:rsid w:val="00B10DBD"/>
    <w:rsid w:val="00B15106"/>
    <w:rsid w:val="00B267E2"/>
    <w:rsid w:val="00B31A9B"/>
    <w:rsid w:val="00B32AF6"/>
    <w:rsid w:val="00B34D1D"/>
    <w:rsid w:val="00B424EF"/>
    <w:rsid w:val="00B47656"/>
    <w:rsid w:val="00B51F90"/>
    <w:rsid w:val="00B6265D"/>
    <w:rsid w:val="00B723B0"/>
    <w:rsid w:val="00B73BD1"/>
    <w:rsid w:val="00B740CA"/>
    <w:rsid w:val="00B829BE"/>
    <w:rsid w:val="00B84476"/>
    <w:rsid w:val="00B87E0E"/>
    <w:rsid w:val="00B9512E"/>
    <w:rsid w:val="00B966D0"/>
    <w:rsid w:val="00BA0161"/>
    <w:rsid w:val="00BA0958"/>
    <w:rsid w:val="00BA13EF"/>
    <w:rsid w:val="00BA37F1"/>
    <w:rsid w:val="00BA5F74"/>
    <w:rsid w:val="00BA67A5"/>
    <w:rsid w:val="00BC3C25"/>
    <w:rsid w:val="00BD3B27"/>
    <w:rsid w:val="00BD5BAD"/>
    <w:rsid w:val="00BD6432"/>
    <w:rsid w:val="00BE052B"/>
    <w:rsid w:val="00BE30BA"/>
    <w:rsid w:val="00BF7B05"/>
    <w:rsid w:val="00C01D6A"/>
    <w:rsid w:val="00C04E58"/>
    <w:rsid w:val="00C10B0E"/>
    <w:rsid w:val="00C111ED"/>
    <w:rsid w:val="00C20E8F"/>
    <w:rsid w:val="00C24483"/>
    <w:rsid w:val="00C25F27"/>
    <w:rsid w:val="00C31A68"/>
    <w:rsid w:val="00C607A0"/>
    <w:rsid w:val="00C74E96"/>
    <w:rsid w:val="00C75397"/>
    <w:rsid w:val="00C84482"/>
    <w:rsid w:val="00C9150E"/>
    <w:rsid w:val="00C975ED"/>
    <w:rsid w:val="00CA026B"/>
    <w:rsid w:val="00CA2800"/>
    <w:rsid w:val="00CA2E7F"/>
    <w:rsid w:val="00CB6D3A"/>
    <w:rsid w:val="00CC0218"/>
    <w:rsid w:val="00CC1C7C"/>
    <w:rsid w:val="00CD25D6"/>
    <w:rsid w:val="00CD3A6C"/>
    <w:rsid w:val="00CE734E"/>
    <w:rsid w:val="00D1481C"/>
    <w:rsid w:val="00D16178"/>
    <w:rsid w:val="00D2095F"/>
    <w:rsid w:val="00D20AB5"/>
    <w:rsid w:val="00D257F2"/>
    <w:rsid w:val="00D36AFB"/>
    <w:rsid w:val="00D57663"/>
    <w:rsid w:val="00D60658"/>
    <w:rsid w:val="00D62191"/>
    <w:rsid w:val="00D668B6"/>
    <w:rsid w:val="00D87E62"/>
    <w:rsid w:val="00D97437"/>
    <w:rsid w:val="00DA1D77"/>
    <w:rsid w:val="00DB123F"/>
    <w:rsid w:val="00DC1005"/>
    <w:rsid w:val="00DC3DD4"/>
    <w:rsid w:val="00DC6DC4"/>
    <w:rsid w:val="00DC790D"/>
    <w:rsid w:val="00DD0B68"/>
    <w:rsid w:val="00DD0CE6"/>
    <w:rsid w:val="00DD2097"/>
    <w:rsid w:val="00DD63FD"/>
    <w:rsid w:val="00DD71E4"/>
    <w:rsid w:val="00DD7211"/>
    <w:rsid w:val="00DD72F1"/>
    <w:rsid w:val="00DE73C1"/>
    <w:rsid w:val="00DF11C1"/>
    <w:rsid w:val="00DF1962"/>
    <w:rsid w:val="00DF28F0"/>
    <w:rsid w:val="00E07473"/>
    <w:rsid w:val="00E07FB4"/>
    <w:rsid w:val="00E1344F"/>
    <w:rsid w:val="00E15A45"/>
    <w:rsid w:val="00E22DCC"/>
    <w:rsid w:val="00E242A0"/>
    <w:rsid w:val="00E31E0D"/>
    <w:rsid w:val="00E334E1"/>
    <w:rsid w:val="00E3404F"/>
    <w:rsid w:val="00E42008"/>
    <w:rsid w:val="00E508FB"/>
    <w:rsid w:val="00E531AC"/>
    <w:rsid w:val="00E61653"/>
    <w:rsid w:val="00E73C17"/>
    <w:rsid w:val="00E77218"/>
    <w:rsid w:val="00E844EF"/>
    <w:rsid w:val="00E84CD3"/>
    <w:rsid w:val="00E85965"/>
    <w:rsid w:val="00E85AFE"/>
    <w:rsid w:val="00E92EE2"/>
    <w:rsid w:val="00E9407C"/>
    <w:rsid w:val="00EA3E74"/>
    <w:rsid w:val="00EB1F63"/>
    <w:rsid w:val="00EC0995"/>
    <w:rsid w:val="00EC4DEB"/>
    <w:rsid w:val="00EE77EA"/>
    <w:rsid w:val="00EF0262"/>
    <w:rsid w:val="00EF4402"/>
    <w:rsid w:val="00EF5DD1"/>
    <w:rsid w:val="00F0040C"/>
    <w:rsid w:val="00F043DD"/>
    <w:rsid w:val="00F1614F"/>
    <w:rsid w:val="00F25A75"/>
    <w:rsid w:val="00F2659A"/>
    <w:rsid w:val="00F3114A"/>
    <w:rsid w:val="00F321C3"/>
    <w:rsid w:val="00F332ED"/>
    <w:rsid w:val="00F35425"/>
    <w:rsid w:val="00F44BF6"/>
    <w:rsid w:val="00F47477"/>
    <w:rsid w:val="00F51EF6"/>
    <w:rsid w:val="00F54F56"/>
    <w:rsid w:val="00F67716"/>
    <w:rsid w:val="00F7434D"/>
    <w:rsid w:val="00F7790B"/>
    <w:rsid w:val="00F77BE0"/>
    <w:rsid w:val="00F8035C"/>
    <w:rsid w:val="00F8517B"/>
    <w:rsid w:val="00F859C6"/>
    <w:rsid w:val="00F9452F"/>
    <w:rsid w:val="00F948B2"/>
    <w:rsid w:val="00FA0202"/>
    <w:rsid w:val="00FA1E78"/>
    <w:rsid w:val="00FC05B9"/>
    <w:rsid w:val="00FD19B4"/>
    <w:rsid w:val="00FF7610"/>
    <w:rsid w:val="01DA5419"/>
    <w:rsid w:val="074439B7"/>
    <w:rsid w:val="0DD3243C"/>
    <w:rsid w:val="12D57302"/>
    <w:rsid w:val="1BED3C77"/>
    <w:rsid w:val="1D5200DE"/>
    <w:rsid w:val="270D4377"/>
    <w:rsid w:val="2B562726"/>
    <w:rsid w:val="2E490B6F"/>
    <w:rsid w:val="36B17CBD"/>
    <w:rsid w:val="370C25D9"/>
    <w:rsid w:val="37F35925"/>
    <w:rsid w:val="3CF13B2F"/>
    <w:rsid w:val="4799478F"/>
    <w:rsid w:val="48AA13F8"/>
    <w:rsid w:val="4A8978D5"/>
    <w:rsid w:val="4EE6341B"/>
    <w:rsid w:val="52C178D8"/>
    <w:rsid w:val="56234EC0"/>
    <w:rsid w:val="59240A16"/>
    <w:rsid w:val="5B3579A3"/>
    <w:rsid w:val="5BE15923"/>
    <w:rsid w:val="65CE6593"/>
    <w:rsid w:val="67EE6B1E"/>
    <w:rsid w:val="68AE4433"/>
    <w:rsid w:val="6B823440"/>
    <w:rsid w:val="79B323EB"/>
    <w:rsid w:val="7F806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50" w:beforeLines="50" w:after="50" w:afterLines="50"/>
      <w:ind w:firstLine="200" w:firstLineChars="200"/>
      <w:jc w:val="both"/>
    </w:pPr>
    <w:rPr>
      <w:rFonts w:ascii="Times New Roman" w:hAnsi="Times New Roman" w:eastAsia="仿宋_GB2312" w:cstheme="minorBidi"/>
      <w:kern w:val="2"/>
      <w:sz w:val="30"/>
      <w:szCs w:val="22"/>
      <w:lang w:val="en-US" w:eastAsia="zh-CN" w:bidi="ar-SA"/>
    </w:rPr>
  </w:style>
  <w:style w:type="paragraph" w:styleId="2">
    <w:name w:val="heading 1"/>
    <w:basedOn w:val="1"/>
    <w:next w:val="1"/>
    <w:link w:val="19"/>
    <w:qFormat/>
    <w:uiPriority w:val="9"/>
    <w:pPr>
      <w:keepNext/>
      <w:keepLines/>
      <w:spacing w:before="120" w:after="120"/>
      <w:outlineLvl w:val="0"/>
    </w:pPr>
    <w:rPr>
      <w:rFonts w:eastAsia="黑体"/>
      <w:bCs/>
      <w:kern w:val="44"/>
      <w:sz w:val="32"/>
      <w:szCs w:val="44"/>
    </w:rPr>
  </w:style>
  <w:style w:type="paragraph" w:styleId="3">
    <w:name w:val="heading 2"/>
    <w:basedOn w:val="1"/>
    <w:next w:val="1"/>
    <w:link w:val="20"/>
    <w:unhideWhenUsed/>
    <w:qFormat/>
    <w:uiPriority w:val="9"/>
    <w:pPr>
      <w:keepNext/>
      <w:keepLines/>
      <w:spacing w:before="120" w:after="120"/>
      <w:outlineLvl w:val="1"/>
    </w:pPr>
    <w:rPr>
      <w:rFonts w:cstheme="majorBidi"/>
      <w:b/>
      <w:bCs/>
      <w:szCs w:val="32"/>
    </w:rPr>
  </w:style>
  <w:style w:type="paragraph" w:styleId="4">
    <w:name w:val="heading 3"/>
    <w:basedOn w:val="1"/>
    <w:next w:val="1"/>
    <w:link w:val="23"/>
    <w:unhideWhenUsed/>
    <w:qFormat/>
    <w:uiPriority w:val="9"/>
    <w:pPr>
      <w:keepNext/>
      <w:keepLines/>
      <w:spacing w:before="120" w:after="120"/>
      <w:outlineLvl w:val="2"/>
    </w:pPr>
    <w:rPr>
      <w:b/>
      <w:bCs/>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Normal Indent"/>
    <w:basedOn w:val="1"/>
    <w:unhideWhenUsed/>
    <w:qFormat/>
    <w:uiPriority w:val="99"/>
    <w:pPr>
      <w:spacing w:before="0" w:beforeLines="0" w:after="0" w:afterLines="0"/>
      <w:ind w:firstLine="420"/>
    </w:pPr>
  </w:style>
  <w:style w:type="paragraph" w:styleId="6">
    <w:name w:val="annotation text"/>
    <w:basedOn w:val="1"/>
    <w:link w:val="27"/>
    <w:semiHidden/>
    <w:unhideWhenUsed/>
    <w:qFormat/>
    <w:uiPriority w:val="99"/>
    <w:pPr>
      <w:jc w:val="left"/>
    </w:pPr>
  </w:style>
  <w:style w:type="paragraph" w:styleId="7">
    <w:name w:val="Body Text"/>
    <w:basedOn w:val="1"/>
    <w:link w:val="24"/>
    <w:qFormat/>
    <w:uiPriority w:val="1"/>
    <w:pPr>
      <w:autoSpaceDE w:val="0"/>
      <w:autoSpaceDN w:val="0"/>
      <w:spacing w:before="0" w:beforeLines="0" w:after="0" w:afterLines="0"/>
      <w:ind w:firstLine="0" w:firstLineChars="0"/>
      <w:jc w:val="left"/>
    </w:pPr>
    <w:rPr>
      <w:rFonts w:ascii="Droid Sans Fallback" w:hAnsi="Droid Sans Fallback" w:eastAsia="Droid Sans Fallback" w:cs="Droid Sans Fallback"/>
      <w:kern w:val="0"/>
      <w:sz w:val="32"/>
      <w:szCs w:val="32"/>
      <w:lang w:eastAsia="en-US"/>
    </w:rPr>
  </w:style>
  <w:style w:type="paragraph" w:styleId="8">
    <w:name w:val="Balloon Text"/>
    <w:basedOn w:val="1"/>
    <w:link w:val="25"/>
    <w:semiHidden/>
    <w:unhideWhenUsed/>
    <w:qFormat/>
    <w:uiPriority w:val="99"/>
    <w:pPr>
      <w:spacing w:before="0" w:after="0"/>
    </w:pPr>
    <w:rPr>
      <w:sz w:val="18"/>
      <w:szCs w:val="18"/>
    </w:r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26"/>
    <w:semiHidden/>
    <w:unhideWhenUsed/>
    <w:qFormat/>
    <w:uiPriority w:val="99"/>
    <w:pPr>
      <w:snapToGrid w:val="0"/>
      <w:jc w:val="left"/>
    </w:pPr>
    <w:rPr>
      <w:sz w:val="18"/>
      <w:szCs w:val="18"/>
    </w:rPr>
  </w:style>
  <w:style w:type="paragraph" w:styleId="12">
    <w:name w:val="Normal (Web)"/>
    <w:basedOn w:val="1"/>
    <w:semiHidden/>
    <w:unhideWhenUsed/>
    <w:qFormat/>
    <w:uiPriority w:val="99"/>
    <w:pPr>
      <w:widowControl/>
      <w:spacing w:before="100" w:beforeLines="0" w:beforeAutospacing="1" w:after="100" w:afterLines="0" w:afterAutospacing="1"/>
      <w:ind w:firstLine="0" w:firstLineChars="0"/>
      <w:jc w:val="left"/>
    </w:pPr>
    <w:rPr>
      <w:rFonts w:ascii="宋体" w:hAnsi="宋体" w:eastAsia="宋体" w:cs="宋体"/>
      <w:kern w:val="0"/>
      <w:sz w:val="24"/>
      <w:szCs w:val="24"/>
    </w:rPr>
  </w:style>
  <w:style w:type="paragraph" w:styleId="13">
    <w:name w:val="annotation subject"/>
    <w:basedOn w:val="6"/>
    <w:next w:val="6"/>
    <w:link w:val="28"/>
    <w:semiHidden/>
    <w:unhideWhenUsed/>
    <w:qFormat/>
    <w:uiPriority w:val="99"/>
    <w:rPr>
      <w:b/>
      <w:bCs/>
    </w:rPr>
  </w:style>
  <w:style w:type="character" w:styleId="16">
    <w:name w:val="Strong"/>
    <w:basedOn w:val="15"/>
    <w:qFormat/>
    <w:uiPriority w:val="22"/>
    <w:rPr>
      <w:b/>
      <w:bCs/>
    </w:rPr>
  </w:style>
  <w:style w:type="character" w:styleId="17">
    <w:name w:val="annotation reference"/>
    <w:basedOn w:val="15"/>
    <w:semiHidden/>
    <w:unhideWhenUsed/>
    <w:qFormat/>
    <w:uiPriority w:val="99"/>
    <w:rPr>
      <w:sz w:val="21"/>
      <w:szCs w:val="21"/>
    </w:rPr>
  </w:style>
  <w:style w:type="character" w:styleId="18">
    <w:name w:val="footnote reference"/>
    <w:basedOn w:val="15"/>
    <w:semiHidden/>
    <w:unhideWhenUsed/>
    <w:qFormat/>
    <w:uiPriority w:val="99"/>
    <w:rPr>
      <w:vertAlign w:val="superscript"/>
    </w:rPr>
  </w:style>
  <w:style w:type="character" w:customStyle="1" w:styleId="19">
    <w:name w:val="标题 1 字符"/>
    <w:basedOn w:val="15"/>
    <w:link w:val="2"/>
    <w:qFormat/>
    <w:uiPriority w:val="9"/>
    <w:rPr>
      <w:rFonts w:ascii="Times New Roman" w:hAnsi="Times New Roman" w:eastAsia="黑体"/>
      <w:bCs/>
      <w:kern w:val="44"/>
      <w:sz w:val="32"/>
      <w:szCs w:val="44"/>
    </w:rPr>
  </w:style>
  <w:style w:type="character" w:customStyle="1" w:styleId="20">
    <w:name w:val="标题 2 字符"/>
    <w:basedOn w:val="15"/>
    <w:link w:val="3"/>
    <w:qFormat/>
    <w:uiPriority w:val="9"/>
    <w:rPr>
      <w:rFonts w:ascii="Times New Roman" w:hAnsi="Times New Roman" w:eastAsia="仿宋_GB2312" w:cstheme="majorBidi"/>
      <w:b/>
      <w:bCs/>
      <w:sz w:val="30"/>
      <w:szCs w:val="32"/>
    </w:rPr>
  </w:style>
  <w:style w:type="character" w:customStyle="1" w:styleId="21">
    <w:name w:val="页眉 字符"/>
    <w:basedOn w:val="15"/>
    <w:link w:val="10"/>
    <w:qFormat/>
    <w:uiPriority w:val="99"/>
    <w:rPr>
      <w:rFonts w:ascii="Times New Roman" w:hAnsi="Times New Roman" w:eastAsia="仿宋_GB2312"/>
      <w:sz w:val="18"/>
      <w:szCs w:val="18"/>
    </w:rPr>
  </w:style>
  <w:style w:type="character" w:customStyle="1" w:styleId="22">
    <w:name w:val="页脚 字符"/>
    <w:basedOn w:val="15"/>
    <w:link w:val="9"/>
    <w:qFormat/>
    <w:uiPriority w:val="99"/>
    <w:rPr>
      <w:rFonts w:ascii="Times New Roman" w:hAnsi="Times New Roman" w:eastAsia="仿宋_GB2312"/>
      <w:sz w:val="18"/>
      <w:szCs w:val="18"/>
    </w:rPr>
  </w:style>
  <w:style w:type="character" w:customStyle="1" w:styleId="23">
    <w:name w:val="标题 3 字符"/>
    <w:basedOn w:val="15"/>
    <w:link w:val="4"/>
    <w:qFormat/>
    <w:uiPriority w:val="9"/>
    <w:rPr>
      <w:rFonts w:ascii="Times New Roman" w:hAnsi="Times New Roman" w:eastAsia="仿宋_GB2312"/>
      <w:b/>
      <w:bCs/>
      <w:sz w:val="30"/>
      <w:szCs w:val="32"/>
    </w:rPr>
  </w:style>
  <w:style w:type="character" w:customStyle="1" w:styleId="24">
    <w:name w:val="正文文本 字符"/>
    <w:basedOn w:val="15"/>
    <w:link w:val="7"/>
    <w:qFormat/>
    <w:uiPriority w:val="1"/>
    <w:rPr>
      <w:rFonts w:ascii="Droid Sans Fallback" w:hAnsi="Droid Sans Fallback" w:eastAsia="Droid Sans Fallback" w:cs="Droid Sans Fallback"/>
      <w:kern w:val="0"/>
      <w:sz w:val="32"/>
      <w:szCs w:val="32"/>
      <w:lang w:eastAsia="en-US"/>
    </w:rPr>
  </w:style>
  <w:style w:type="character" w:customStyle="1" w:styleId="25">
    <w:name w:val="批注框文本 字符"/>
    <w:basedOn w:val="15"/>
    <w:link w:val="8"/>
    <w:semiHidden/>
    <w:qFormat/>
    <w:uiPriority w:val="99"/>
    <w:rPr>
      <w:rFonts w:ascii="Times New Roman" w:hAnsi="Times New Roman" w:eastAsia="仿宋_GB2312"/>
      <w:sz w:val="18"/>
      <w:szCs w:val="18"/>
    </w:rPr>
  </w:style>
  <w:style w:type="character" w:customStyle="1" w:styleId="26">
    <w:name w:val="脚注文本 字符"/>
    <w:basedOn w:val="15"/>
    <w:link w:val="11"/>
    <w:semiHidden/>
    <w:qFormat/>
    <w:uiPriority w:val="99"/>
    <w:rPr>
      <w:rFonts w:ascii="Times New Roman" w:hAnsi="Times New Roman" w:eastAsia="仿宋_GB2312"/>
      <w:sz w:val="18"/>
      <w:szCs w:val="18"/>
    </w:rPr>
  </w:style>
  <w:style w:type="character" w:customStyle="1" w:styleId="27">
    <w:name w:val="批注文字 字符"/>
    <w:basedOn w:val="15"/>
    <w:link w:val="6"/>
    <w:semiHidden/>
    <w:qFormat/>
    <w:uiPriority w:val="99"/>
    <w:rPr>
      <w:rFonts w:ascii="Times New Roman" w:hAnsi="Times New Roman" w:eastAsia="仿宋_GB2312"/>
      <w:sz w:val="30"/>
    </w:rPr>
  </w:style>
  <w:style w:type="character" w:customStyle="1" w:styleId="28">
    <w:name w:val="批注主题 字符"/>
    <w:basedOn w:val="27"/>
    <w:link w:val="13"/>
    <w:semiHidden/>
    <w:qFormat/>
    <w:uiPriority w:val="99"/>
    <w:rPr>
      <w:rFonts w:ascii="Times New Roman" w:hAnsi="Times New Roman" w:eastAsia="仿宋_GB2312"/>
      <w:b/>
      <w:bCs/>
      <w:sz w:val="30"/>
    </w:rPr>
  </w:style>
  <w:style w:type="paragraph" w:styleId="29">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557364-EAC4-4438-AC15-D4A374D9C0C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5942</Words>
  <Characters>6086</Characters>
  <Lines>61</Lines>
  <Paragraphs>17</Paragraphs>
  <TotalTime>9</TotalTime>
  <ScaleCrop>false</ScaleCrop>
  <LinksUpToDate>false</LinksUpToDate>
  <CharactersWithSpaces>6088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2022-03-27T06:53:00Z</dcterms:created>
  <dc:creator>Lenovo</dc:creator>
  <cp:lastModifiedBy>曾东城</cp:lastModifiedBy>
  <dcterms:modified xsi:type="dcterms:W3CDTF">2022-04-01T09:36:51Z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0062FCDE65694A65A365F9E0F1ED9478</vt:lpwstr>
  </property>
</Properties>
</file>