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评分细则</w:t>
      </w:r>
    </w:p>
    <w:tbl>
      <w:tblPr>
        <w:tblStyle w:val="5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22"/>
        <w:gridCol w:w="6507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评审因素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评分细则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项目熟悉程度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（16分）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项目需求理解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阐述研究思路，包括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（1）地下综合管廊建设运维的成本现状（3分）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（2）地下综合管廊建设运维成本工作的亮点和难点分析（3分）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（3）地下综合管廊成本分担补偿机制构建（4分）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项目研究基础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杭州、宁波等城市地下综合管廊建设、运营、维护等现状情况（6分）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对标情况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（12分）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发展现状研究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地下综合管廊成本分担的政策（2分）及入廊费标准政策（2分）研究。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机制设计研究</w:t>
            </w:r>
          </w:p>
          <w:p>
            <w:pPr>
              <w:spacing w:line="400" w:lineRule="exact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地下综合管廊成本分担补偿的主体（2分），成本分担的方法和比例测算（2分），成本分担补偿的标准(2分)、成本分担补偿的监管（2分）。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编制方案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（35分）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本项目主要任务研究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调研杭州、宁波等城市地下综合管廊的建设、运维、成本、收费现状（5分）；研讨地下综合管廊成本及其分担机制（5分），地下综合管廊成本分担补偿存在的难点（5分），提出地下综合管廊成本分担补偿的建议（5分）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1"/>
                <w:szCs w:val="21"/>
                <w:lang w:eastAsia="zh-CN" w:bidi="ar-SA"/>
              </w:rPr>
              <w:t>6</w:t>
            </w:r>
          </w:p>
        </w:tc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本项目的政策建议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提出科学合理的地下综合管廊成本分担补偿机制政策建议，结合实际（3分）、全面（3分）、具备可操作性（3分）。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1"/>
                <w:szCs w:val="21"/>
                <w:lang w:eastAsia="zh-CN" w:bidi="ar-SA"/>
              </w:rPr>
              <w:t>7</w:t>
            </w:r>
          </w:p>
        </w:tc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提供《地下综合管廊成本分担补偿机制研究》实施方案的编制服务，服务内容符合采购文件要求（2分）、全面（2分）、针对性强（2分）。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1"/>
                <w:szCs w:val="21"/>
                <w:lang w:eastAsia="zh-CN" w:bidi="ar-SA"/>
              </w:rPr>
              <w:t>8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技术要求（4分）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项目研究方法科学（1分）、流程明晰（1分）、思路清楚（1分），具有可操作性（1分）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1"/>
                <w:szCs w:val="21"/>
                <w:lang w:eastAsia="zh-CN" w:bidi="ar-SA"/>
              </w:rPr>
              <w:t>9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进度安排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根据投标人的项目进度安排方案进行打分：项目进度安排科学合理，关键时间点把握准确的，得3分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default" w:ascii="宋体" w:hAnsi="宋体" w:cs="宋体"/>
                <w:szCs w:val="21"/>
              </w:rPr>
              <w:t>0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保障措施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根据投标人的质量保障方案进行打分：提供切实可行的质量保障措施，具备科学性、合理性、可操作性，确保项目有质量完成的，得3分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Cs w:val="21"/>
                <w:lang w:eastAsia="zh-CN"/>
              </w:rPr>
              <w:t>1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服务团队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16分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项目负责人（1名）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具有正高级职称得2分，具有副高级职称得1分；具有成本类（基础设施或垄断行业)等同类型项目从业经历得2分；具有成本类（基础设施或垄断行业)论文、专著获奖情况（国家级、省级）得2分；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Cs w:val="21"/>
                <w:lang w:eastAsia="zh-CN"/>
              </w:rPr>
              <w:t>2</w:t>
            </w: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项目团队成员（项目负责人除外）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具有高级职称同时具有类似项目经历（如：地下管廊、地下管线）的每位团队成员得2分，最多得4分；具有博士或副高级职称的每位团队成员得1分，最多得2分；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注：</w:t>
            </w:r>
            <w:r>
              <w:rPr>
                <w:rFonts w:hint="eastAsia" w:ascii="宋体" w:hAnsi="宋体" w:cs="宋体"/>
                <w:szCs w:val="21"/>
              </w:rPr>
              <w:t>需提供职称证书复印件或评审组认可的证明材料，否则不得分。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Cs w:val="21"/>
                <w:lang w:eastAsia="zh-CN"/>
              </w:rPr>
              <w:t>3</w:t>
            </w: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团队成员专业匹配度：学位专业是与本项目服务相关的经济、财政、工程管理等专业，或其他评审组认可的相关专业，每有一人得1分，最多得4分。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注：需提供学历复印件或评审组认可的证明材料，否则不得分。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Cs w:val="21"/>
                <w:lang w:eastAsia="zh-CN"/>
              </w:rPr>
              <w:t>4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投标人成功经验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提供近三年具有类似研究项目的业绩合同，每提供一个得1分，最多得1分。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注：提供合同复印件。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Cs w:val="21"/>
                <w:lang w:eastAsia="zh-CN"/>
              </w:rPr>
              <w:t>5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价格分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项目成本构成合理、满足招标文件要求且报价最低的投标报价为评标基准价，其价格分为满分。其他投标人的价格分统一按照下列公式计算：投标报价得分=（评标基准价/投标报价）×10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光小标宋_CNKI">
    <w:altName w:val="宋体"/>
    <w:panose1 w:val="02000500000000000000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71108"/>
    <w:rsid w:val="3DF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240" w:lineRule="auto"/>
      <w:ind w:firstLine="0" w:firstLineChars="0"/>
      <w:jc w:val="center"/>
      <w:outlineLvl w:val="0"/>
    </w:pPr>
    <w:rPr>
      <w:rFonts w:eastAsia="华光小标宋_CNKI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99"/>
    <w:pPr>
      <w:spacing w:line="324" w:lineRule="auto"/>
      <w:ind w:firstLine="480"/>
    </w:pPr>
    <w:rPr>
      <w:rFonts w:ascii="宋体"/>
    </w:rPr>
  </w:style>
  <w:style w:type="paragraph" w:styleId="4">
    <w:name w:val="Body Text First Indent 2"/>
    <w:basedOn w:val="3"/>
    <w:next w:val="1"/>
    <w:unhideWhenUsed/>
    <w:qFormat/>
    <w:uiPriority w:val="99"/>
    <w:pPr>
      <w:spacing w:before="100" w:beforeAutospacing="1" w:after="0" w:line="580" w:lineRule="exact"/>
      <w:ind w:left="0" w:leftChars="0" w:firstLine="420" w:firstLineChars="200"/>
    </w:pPr>
    <w:rPr>
      <w:rFonts w:ascii="仿宋_GB2312" w:eastAsia="仿宋_GB2312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2023-05-24T16:17:00Z</dcterms:created>
  <dc:creator>ChenChenChen</dc:creator>
  <cp:lastModifiedBy>ChenChenChen</cp:lastModifiedBy>
  <dcterms:modified xsi:type="dcterms:W3CDTF">2023-05-24T16:18:05Z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