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/>
          <w:lang w:val="zh-CN" w:eastAsia="zh-CN"/>
        </w:rPr>
      </w:pPr>
      <w:r>
        <w:rPr>
          <w:rFonts w:hint="eastAsia" w:ascii="黑体" w:hAnsi="黑体" w:eastAsia="黑体" w:cs="黑体"/>
          <w:lang w:val="zh-CN"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/>
        </w:rPr>
        <w:t>评分细则</w:t>
      </w:r>
      <w:bookmarkStart w:id="0" w:name="_GoBack"/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1122"/>
        <w:gridCol w:w="6507"/>
        <w:gridCol w:w="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评审因素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评分细则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项目熟悉程度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项目需求理解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阐述研究思路，包括</w:t>
            </w:r>
            <w:r>
              <w:rPr>
                <w:rFonts w:hint="eastAsia"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（1）对杭州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经济发展战略迭代升级</w:t>
            </w:r>
            <w:r>
              <w:rPr>
                <w:rFonts w:hint="eastAsia" w:ascii="宋体" w:hAnsi="宋体" w:cs="宋体"/>
                <w:szCs w:val="21"/>
              </w:rPr>
              <w:t>研究背景理解是否到位（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；</w:t>
            </w:r>
            <w:r>
              <w:rPr>
                <w:rFonts w:ascii="宋体" w:hAnsi="宋体" w:cs="宋体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szCs w:val="21"/>
              </w:rPr>
              <w:t>（2）战略意义和作用是否认识准确、有深度（4分）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项目研究基础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杭州经济发展战略迭代升级的基本思路</w:t>
            </w:r>
            <w:r>
              <w:rPr>
                <w:rFonts w:hint="eastAsia" w:ascii="宋体" w:hAnsi="宋体" w:cs="宋体"/>
                <w:szCs w:val="21"/>
              </w:rPr>
              <w:t>（6分）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项目编制方案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分析近10年来各行业对杭州经济增长的贡献率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），分析合理（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全面（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default"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对比分析上海、北京、深圳等重点城市的经济增长动力源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,分析合理（2分），清晰（2分）。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分析数字经济、高新技术产业、战略性新兴产业等重点产业对杭州经济增长的贡献率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），分析合理（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）、清晰（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  <w:t>6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杭州经济高质量发展的战略性再认知再思考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  <w:t>7</w:t>
            </w:r>
          </w:p>
        </w:tc>
        <w:tc>
          <w:tcPr>
            <w:tcW w:w="1122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谋划提出杭州经济发展战略迭代升级的重要举措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。是否具有前瞻性、合理性、科学性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  <w:t>8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技术要求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项目研究方法科学（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分）、流程明晰（1分）、思路清楚（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分），具有可操作性（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分）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1"/>
                <w:szCs w:val="21"/>
                <w:lang w:eastAsia="zh-CN" w:bidi="ar-SA"/>
              </w:rPr>
              <w:t>9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进度安排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根据投标人的项目进度安排方案进行打分：项目进度安排科学合理，关键时间点把握准确的，得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default" w:ascii="宋体" w:hAnsi="宋体" w:cs="宋体"/>
                <w:szCs w:val="21"/>
              </w:rPr>
              <w:t>0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保障措施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根据投标人的质量保障方案进行打分：提供切实可行的质量保障措施，具备科学性、合理性、可操作性，确保项目有质量完成的，得3分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1</w:t>
            </w: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服务团队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项目负责人（</w:t>
            </w:r>
            <w:r>
              <w:rPr>
                <w:rFonts w:hint="default" w:ascii="宋体" w:hAnsi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名）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（1）具有高级职称，正高级得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分，副高级得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分；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）具有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杭州重大战略研究等</w:t>
            </w:r>
            <w:r>
              <w:rPr>
                <w:rFonts w:hint="eastAsia" w:ascii="宋体" w:hAnsi="宋体" w:cs="宋体"/>
                <w:szCs w:val="21"/>
              </w:rPr>
              <w:t>同类型</w:t>
            </w:r>
            <w:r>
              <w:rPr>
                <w:rFonts w:ascii="宋体" w:hAnsi="宋体" w:cs="宋体"/>
                <w:szCs w:val="21"/>
              </w:rPr>
              <w:t>项目</w:t>
            </w:r>
            <w:r>
              <w:rPr>
                <w:rFonts w:hint="eastAsia" w:ascii="宋体" w:hAnsi="宋体" w:cs="宋体"/>
                <w:szCs w:val="21"/>
              </w:rPr>
              <w:t>从业经历专得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分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;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（3）具有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经济</w:t>
            </w:r>
            <w:r>
              <w:rPr>
                <w:rFonts w:hint="eastAsia" w:ascii="宋体" w:hAnsi="宋体" w:cs="宋体"/>
                <w:szCs w:val="21"/>
              </w:rPr>
              <w:t>类（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产业</w:t>
            </w:r>
            <w:r>
              <w:rPr>
                <w:rFonts w:hint="eastAsia" w:ascii="宋体" w:hAnsi="宋体" w:cs="宋体"/>
                <w:szCs w:val="21"/>
              </w:rPr>
              <w:t>类）学术成果（论文、著作等）得2分。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2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项目团队成员（项目负责人除外）中具有中级以上职称，中级职称得1分，高级职称得2分，最高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分。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注：需提供</w:t>
            </w:r>
            <w:r>
              <w:rPr>
                <w:rFonts w:ascii="宋体" w:hAnsi="宋体" w:cs="宋体"/>
                <w:szCs w:val="21"/>
              </w:rPr>
              <w:t>职称证书</w:t>
            </w:r>
            <w:r>
              <w:rPr>
                <w:rFonts w:hint="eastAsia" w:ascii="宋体" w:hAnsi="宋体" w:cs="宋体"/>
                <w:szCs w:val="21"/>
              </w:rPr>
              <w:t>复印件或评审组认可的证明材料，否则不得分。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3</w:t>
            </w: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团队成员专业匹配度：学位专业是与本项目服务相关的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经济、</w:t>
            </w:r>
            <w:r>
              <w:rPr>
                <w:rFonts w:hint="eastAsia" w:ascii="宋体" w:hAnsi="宋体" w:cs="宋体"/>
                <w:szCs w:val="21"/>
              </w:rPr>
              <w:t>产业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发展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规划、金融、</w:t>
            </w:r>
            <w:r>
              <w:rPr>
                <w:rFonts w:hint="eastAsia" w:ascii="宋体" w:hAnsi="宋体" w:cs="宋体"/>
                <w:szCs w:val="21"/>
              </w:rPr>
              <w:t>等专业，或其他评审组认可的相关专业，每有一人得1分，最多得5分</w:t>
            </w:r>
            <w:r>
              <w:rPr>
                <w:rFonts w:ascii="宋体" w:hAnsi="宋体" w:cs="宋体"/>
                <w:szCs w:val="21"/>
              </w:rPr>
              <w:t>。</w:t>
            </w:r>
            <w:r>
              <w:rPr>
                <w:rFonts w:hint="eastAsia" w:ascii="宋体" w:hAnsi="宋体" w:cs="宋体"/>
                <w:szCs w:val="21"/>
                <w:lang w:bidi="ar"/>
              </w:rPr>
              <w:t>按人数计算得分，重复一个专业可以重复得分。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注：需提供学历复印件或评审组认可的证明材料，否则不得分。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4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投标人成功经验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提供自2018年1月1日以来具有类似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发展战略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规划</w:t>
            </w:r>
            <w:r>
              <w:rPr>
                <w:rFonts w:hint="eastAsia" w:ascii="宋体" w:hAnsi="宋体" w:cs="宋体"/>
                <w:szCs w:val="21"/>
              </w:rPr>
              <w:t>等研究项目的业绩合同，每提供一个得0.5分，最多得1分。</w:t>
            </w:r>
          </w:p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注：提供合同复印件。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7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default" w:ascii="宋体" w:hAnsi="宋体" w:cs="宋体"/>
                <w:szCs w:val="21"/>
                <w:lang w:eastAsia="zh-CN"/>
              </w:rPr>
              <w:t>5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价格分</w:t>
            </w:r>
          </w:p>
        </w:tc>
        <w:tc>
          <w:tcPr>
            <w:tcW w:w="6507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项目成本构成合理、满足招标文件要求且报价最低的投标报价为评标基准价，其价格分为满分。其他投标人的价格分统一按照下列公式计算：投标报价得分=（评标基准价/投标报价）×10</w:t>
            </w:r>
          </w:p>
        </w:tc>
        <w:tc>
          <w:tcPr>
            <w:tcW w:w="7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58D03"/>
    <w:rsid w:val="71A58D03"/>
    <w:rsid w:val="765CF29D"/>
    <w:rsid w:val="F9D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line="324" w:lineRule="auto"/>
      <w:ind w:firstLine="480"/>
    </w:pPr>
    <w:rPr>
      <w:rFonts w:ascii="宋体"/>
    </w:rPr>
  </w:style>
  <w:style w:type="paragraph" w:styleId="3">
    <w:name w:val="Body Text First Indent 2"/>
    <w:basedOn w:val="2"/>
    <w:next w:val="1"/>
    <w:unhideWhenUsed/>
    <w:qFormat/>
    <w:uiPriority w:val="99"/>
    <w:pPr>
      <w:spacing w:before="100" w:beforeAutospacing="1" w:after="0" w:line="580" w:lineRule="exact"/>
      <w:ind w:left="0" w:leftChars="0" w:firstLine="420" w:firstLineChars="200"/>
    </w:pPr>
    <w:rPr>
      <w:rFonts w:ascii="仿宋_GB2312" w:eastAsia="仿宋_GB2312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2023-04-18T17:06:00Z</dcterms:created>
  <dc:creator>ChenChenChen</dc:creator>
  <cp:lastModifiedBy>ChenChenChen</cp:lastModifiedBy>
  <dcterms:modified xsi:type="dcterms:W3CDTF">2023-04-18T17:07:53Z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