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Style w:val="9"/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="0" w:beforeLines="0" w:after="0" w:afterLines="0" w:line="520" w:lineRule="exact"/>
        <w:ind w:firstLine="200" w:firstLineChars="0"/>
        <w:jc w:val="center"/>
        <w:textAlignment w:val="auto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Calibri" w:eastAsia="方正小标宋简体"/>
          <w:sz w:val="44"/>
          <w:szCs w:val="44"/>
        </w:rPr>
        <w:t>关于进一步加快</w:t>
      </w:r>
      <w:r>
        <w:rPr>
          <w:rFonts w:hint="eastAsia" w:ascii="方正小标宋简体" w:hAnsi="Calibri" w:eastAsia="方正小标宋简体"/>
          <w:sz w:val="44"/>
          <w:szCs w:val="44"/>
          <w:lang w:val="en-US" w:eastAsia="zh-CN"/>
        </w:rPr>
        <w:t>我市光伏发电项目建设的实施意见（征求意见稿）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为加快建立清洁低碳、安全高效的现代能源体系，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提高我市电力自给能力，落实碳</w:t>
      </w:r>
      <w:bookmarkStart w:id="4" w:name="_GoBack"/>
      <w:bookmarkEnd w:id="4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达峰碳中和重大决策部署，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</w:rPr>
        <w:t>《浙江省可再生能源发展“十四五”规划》、《杭州市可再生能源发展“十四五”规划》，制订本实施意见。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bookmarkStart w:id="0" w:name="_Toc18114"/>
      <w:bookmarkStart w:id="1" w:name="_Toc28370"/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发展目标</w:t>
      </w:r>
      <w:bookmarkEnd w:id="0"/>
      <w:bookmarkEnd w:id="1"/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“十四五”期间，确保新增光伏装机容量1200兆瓦以上，力争达到2000兆瓦以上，累计装机330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兆瓦以上。各区、县（市）光伏装机任务见附件。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实施重点</w:t>
      </w:r>
    </w:p>
    <w:p>
      <w:pPr>
        <w:pStyle w:val="13"/>
        <w:keepNext w:val="0"/>
        <w:keepLines w:val="0"/>
        <w:pageBreakBefore w:val="0"/>
        <w:widowControl/>
        <w:numPr>
          <w:ilvl w:val="2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（一）推进整县（市、区）屋顶分布式光伏开发试点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淳安县、拱墅区、萧山区、钱塘区、临平区、建德市、桐庐县等七个区、县（市）按《浙江省整县（市、区）推进屋顶分布式光伏开发工作导则》相关要求开展工作。</w:t>
      </w:r>
    </w:p>
    <w:p>
      <w:pPr>
        <w:pStyle w:val="15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bidi w:val="0"/>
        <w:spacing w:line="58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（二）促进光伏产业迭代升级</w:t>
      </w:r>
    </w:p>
    <w:p>
      <w:pPr>
        <w:pStyle w:val="15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bidi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鼓励科研院所、高校、光伏企业开展前沿技术研发，抢占光伏技术高地。大力支持本地光伏龙头企业、光伏新技术企业加大研发投入，建设市级以上企业工程（技术）中心、研究中心、研究院、重点实验室等，推动行业技术进步，提高产业核心竞争力。</w:t>
      </w:r>
    </w:p>
    <w:p>
      <w:pPr>
        <w:pStyle w:val="15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bidi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严格控制新上单纯扩大产能的低水平光伏制造项目，加快淘汰落后产能。支持我市光伏生产企业购置工艺先进、节能环保的生产设备，提高产品质量和技术水平、降低生产成本，扩大生产规模，满足市场对先进光伏产品的需求。</w:t>
      </w:r>
    </w:p>
    <w:p>
      <w:pPr>
        <w:pStyle w:val="15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bidi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引导光伏骨干企业参照光伏行业绿色制造相关标准要求，开展绿色产品、绿色工厂评价，打造绿色供应链；建立废弃光伏产品回收与利用处理网络体系。</w:t>
      </w:r>
    </w:p>
    <w:p>
      <w:pPr>
        <w:pStyle w:val="1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80" w:lineRule="exact"/>
        <w:ind w:lef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（三）全面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"/>
        </w:rPr>
        <w:t>推进“光伏+”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工程</w:t>
      </w:r>
    </w:p>
    <w:p>
      <w:pPr>
        <w:pStyle w:val="1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80" w:lineRule="exact"/>
        <w:ind w:left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1、“光伏+”工业领域</w:t>
      </w:r>
    </w:p>
    <w:p>
      <w:pPr>
        <w:pStyle w:val="1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现有年综合能耗超过1000吨标煤且具备光伏安装条件的企业（项目），原则上都要配套建设光伏。新建厂房及配套用房或者老旧厂房升级改造，按照“宜建尽建”的原则进行光伏开发利用。屋顶配套建设光伏作为新增用能项目节能报告审查的必查条件。</w:t>
      </w:r>
    </w:p>
    <w:p>
      <w:pPr>
        <w:pStyle w:val="1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left="0" w:firstLine="624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推动各类国有企业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建设光伏设施。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适合安装光伏的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具备安装条件及安装价值，下同）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自来水厂、污水处理厂等公共基础设施的大型构筑物（建筑物）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，必须全部安装；同时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在新建项目的构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建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筑物规划和设计时必须考虑光伏配套建设设计。</w:t>
      </w:r>
    </w:p>
    <w:p>
      <w:pPr>
        <w:pStyle w:val="15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bidi w:val="0"/>
        <w:snapToGrid/>
        <w:spacing w:line="580" w:lineRule="exact"/>
        <w:ind w:left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“光伏+”公共建筑</w:t>
      </w:r>
    </w:p>
    <w:p>
      <w:pPr>
        <w:pStyle w:val="1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8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公共建筑应充分发挥光伏建设示范引领作用。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政府机关、事业单位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办公楼屋顶及车棚顶；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</w:rPr>
        <w:t>各类公共体育馆、城市展览馆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  <w:lang w:eastAsia="zh-CN"/>
        </w:rPr>
        <w:t>、会展中心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</w:rPr>
        <w:t>屋顶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  <w:lang w:eastAsia="zh-CN"/>
        </w:rPr>
        <w:t>、立面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</w:rPr>
        <w:t>及车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  <w:lang w:eastAsia="zh-CN"/>
        </w:rPr>
        <w:t>库（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</w:rPr>
        <w:t>棚</w:t>
      </w:r>
      <w:r>
        <w:rPr>
          <w:rFonts w:hint="default" w:ascii="仿宋_GB2312" w:hAnsi="仿宋_GB2312" w:eastAsia="仿宋_GB2312" w:cs="仿宋_GB2312"/>
          <w:spacing w:val="-4"/>
          <w:sz w:val="32"/>
          <w:szCs w:val="32"/>
          <w:highlight w:val="none"/>
          <w:lang w:val="en"/>
        </w:rPr>
        <w:t>)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</w:rPr>
        <w:t>顶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各类学校行政办公楼、实验楼、教学楼、体育馆、图书馆、宿舍屋顶及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</w:rPr>
        <w:t>车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  <w:lang w:eastAsia="zh-CN"/>
        </w:rPr>
        <w:t>库（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</w:rPr>
        <w:t>棚</w:t>
      </w:r>
      <w:r>
        <w:rPr>
          <w:rFonts w:hint="default" w:ascii="仿宋_GB2312" w:hAnsi="仿宋_GB2312" w:eastAsia="仿宋_GB2312" w:cs="仿宋_GB2312"/>
          <w:spacing w:val="-4"/>
          <w:sz w:val="32"/>
          <w:szCs w:val="32"/>
          <w:highlight w:val="none"/>
          <w:lang w:val="en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顶；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各类公立医院住院楼、门诊楼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屋顶及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</w:rPr>
        <w:t>车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  <w:lang w:eastAsia="zh-CN"/>
        </w:rPr>
        <w:t>库（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</w:rPr>
        <w:t>棚</w:t>
      </w:r>
      <w:r>
        <w:rPr>
          <w:rFonts w:hint="default" w:ascii="仿宋_GB2312" w:hAnsi="仿宋_GB2312" w:eastAsia="仿宋_GB2312" w:cs="仿宋_GB2312"/>
          <w:spacing w:val="-4"/>
          <w:sz w:val="32"/>
          <w:szCs w:val="32"/>
          <w:highlight w:val="none"/>
          <w:lang w:val="en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；各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旅游度假区、公园、游乐园、植物园、文博院馆等文化旅游景区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游客集散中心、管理用房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屋顶、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</w:rPr>
        <w:t>车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  <w:lang w:eastAsia="zh-CN"/>
        </w:rPr>
        <w:t>库（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</w:rPr>
        <w:t>棚</w:t>
      </w:r>
      <w:r>
        <w:rPr>
          <w:rFonts w:hint="default" w:ascii="仿宋_GB2312" w:hAnsi="仿宋_GB2312" w:eastAsia="仿宋_GB2312" w:cs="仿宋_GB2312"/>
          <w:spacing w:val="-4"/>
          <w:sz w:val="32"/>
          <w:szCs w:val="32"/>
          <w:highlight w:val="none"/>
          <w:lang w:val="en"/>
        </w:rPr>
        <w:t>)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顶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，适合安装光伏的，原则上要应装尽装。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承载能力不足的或异形屋顶，鼓励采用柔性光伏设施。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鼓励采用光伏组件一体化屋面发电系统、一体化新能源照明设施和具有通风散热功能的光伏幕墙应用。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bidi w:val="0"/>
        <w:snapToGrid/>
        <w:spacing w:line="580" w:lineRule="exact"/>
        <w:ind w:left="0" w:leftChars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“光伏+”交通领域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bidi w:val="0"/>
        <w:snapToGrid/>
        <w:spacing w:line="58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适合安装光伏的较大公交停车场顶棚、车站、机场、港口码头等建筑屋顶，须安装光伏设施。鼓励在一般公交车站、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路灯、交通信号灯、交通警示灯、交通标志灯、交通指示牌等交通设施领域推动光伏应用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鼓励在高速收费站、互通、服务区、隧道出入口处、边坡、隔音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障等建设光伏设施或采用一体化光伏产品。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left="0" w:firstLine="626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spacing w:val="-4"/>
          <w:sz w:val="32"/>
          <w:szCs w:val="32"/>
          <w:lang w:val="en-US" w:eastAsia="zh-CN"/>
        </w:rPr>
        <w:t>4、</w:t>
      </w:r>
      <w:r>
        <w:rPr>
          <w:rFonts w:hint="eastAsia" w:ascii="楷体_GB2312" w:hAnsi="楷体_GB2312" w:eastAsia="楷体_GB2312" w:cs="楷体_GB2312"/>
          <w:b/>
          <w:bCs/>
          <w:spacing w:val="-4"/>
          <w:sz w:val="32"/>
          <w:szCs w:val="32"/>
        </w:rPr>
        <w:t>“光伏+”商业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领域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适合安装光伏的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商业综合体、大型超市、宾馆、餐饮、影院、剧院、仓储物流园区、商务写字楼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等各类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商业建筑屋顶及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</w:rPr>
        <w:t>车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  <w:lang w:eastAsia="zh-CN"/>
        </w:rPr>
        <w:t>库（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</w:rPr>
        <w:t>棚</w:t>
      </w:r>
      <w:r>
        <w:rPr>
          <w:rFonts w:hint="default" w:ascii="仿宋_GB2312" w:hAnsi="仿宋_GB2312" w:eastAsia="仿宋_GB2312" w:cs="仿宋_GB2312"/>
          <w:spacing w:val="-4"/>
          <w:sz w:val="32"/>
          <w:szCs w:val="32"/>
          <w:highlight w:val="none"/>
          <w:lang w:val="en"/>
        </w:rPr>
        <w:t>)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顶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，须安装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光伏设施。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鼓励采用光伏一体化发电系统、一体化新能源照明设施和光伏幕墙应用。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80" w:lineRule="exact"/>
        <w:ind w:firstLine="626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pacing w:val="-4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pacing w:val="-4"/>
          <w:sz w:val="32"/>
          <w:szCs w:val="32"/>
          <w:lang w:val="en-US" w:eastAsia="zh-CN"/>
        </w:rPr>
        <w:t>5、“光伏+”居民领域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bidi w:val="0"/>
        <w:spacing w:before="0" w:beforeAutospacing="0" w:after="0" w:afterAutospacing="0" w:line="580" w:lineRule="exact"/>
        <w:ind w:left="0" w:right="0" w:firstLine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城市新建居住建筑（含联排别墅、住宅小区、公寓楼、安置房）及其公共配套设施建筑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必须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建设光伏发电系统，其安装比例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须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达到浙江省《民用建筑可再生能源应用核算标准》DB33/1105规定。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bidi w:val="0"/>
        <w:spacing w:before="0" w:beforeAutospacing="0" w:after="0" w:afterAutospacing="0" w:line="580" w:lineRule="exact"/>
        <w:ind w:left="0" w:right="0" w:firstLine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鼓励在既有居住建筑（含老旧小区）及其公共配套设施建筑屋顶及庭院、车棚顶建设光伏设施。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80" w:lineRule="exact"/>
        <w:ind w:left="0" w:firstLine="624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鼓励在村委会、经济合作社、文化大礼堂等大楼屋顶建设光伏设施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鼓励村民利用自建房屋顶、庭院建设光伏设施，加快清洁能源在农村普及与发展。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bidi w:val="0"/>
        <w:snapToGrid/>
        <w:spacing w:line="580" w:lineRule="exact"/>
        <w:ind w:left="0" w:firstLine="626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pacing w:val="-4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pacing w:val="-4"/>
          <w:sz w:val="32"/>
          <w:szCs w:val="32"/>
          <w:lang w:val="en-US" w:eastAsia="zh-CN"/>
        </w:rPr>
        <w:t>6、“光伏+”农林领域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bidi w:val="0"/>
        <w:snapToGrid/>
        <w:spacing w:line="580" w:lineRule="exact"/>
        <w:ind w:left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推进复合型农光互补、菌光互补、渔光互补、茶光互补、林光互补等光伏电站建设。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在符合国土空间规划和复合用地标准的前提下，支持利用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设施农业，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一般农用地、园地、滩涂、垦造地、荒山荒坡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废弃土地（如矿坑）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等建设农（林、茶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、菌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）光互补项目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支持在符合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相关法律法规要求的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水域建设光伏发电系统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</w:rPr>
        <w:t>支持在养殖鱼塘等水面建设渔光互补光伏发电项目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农业农村、规资</w:t>
      </w:r>
      <w:r>
        <w:rPr>
          <w:rFonts w:hint="eastAsia" w:ascii="仿宋_GB2312" w:eastAsia="仿宋_GB2312"/>
          <w:sz w:val="32"/>
          <w:szCs w:val="32"/>
          <w:lang w:eastAsia="zh-CN"/>
        </w:rPr>
        <w:t>、林水</w:t>
      </w:r>
      <w:r>
        <w:rPr>
          <w:rFonts w:hint="eastAsia" w:ascii="仿宋_GB2312" w:eastAsia="仿宋_GB2312"/>
          <w:sz w:val="32"/>
          <w:szCs w:val="32"/>
        </w:rPr>
        <w:t>等</w:t>
      </w:r>
      <w:r>
        <w:rPr>
          <w:rFonts w:hint="eastAsia" w:ascii="仿宋_GB2312" w:eastAsia="仿宋_GB2312"/>
          <w:sz w:val="32"/>
          <w:szCs w:val="32"/>
          <w:lang w:eastAsia="zh-CN"/>
        </w:rPr>
        <w:t>相关</w:t>
      </w:r>
      <w:r>
        <w:rPr>
          <w:rFonts w:hint="eastAsia" w:ascii="仿宋_GB2312" w:eastAsia="仿宋_GB2312"/>
          <w:sz w:val="32"/>
          <w:szCs w:val="32"/>
        </w:rPr>
        <w:t>部门</w:t>
      </w:r>
      <w:r>
        <w:rPr>
          <w:rFonts w:hint="eastAsia" w:ascii="仿宋_GB2312" w:eastAsia="仿宋_GB2312"/>
          <w:sz w:val="32"/>
          <w:szCs w:val="32"/>
          <w:lang w:eastAsia="zh-CN"/>
        </w:rPr>
        <w:t>积极配合开展</w:t>
      </w:r>
      <w:r>
        <w:rPr>
          <w:rFonts w:hint="eastAsia" w:ascii="仿宋_GB2312" w:eastAsia="仿宋_GB2312"/>
          <w:sz w:val="32"/>
          <w:szCs w:val="32"/>
        </w:rPr>
        <w:t>光伏项目场地</w:t>
      </w:r>
      <w:r>
        <w:rPr>
          <w:rFonts w:hint="eastAsia" w:ascii="仿宋_GB2312" w:eastAsia="仿宋_GB2312"/>
          <w:sz w:val="32"/>
          <w:szCs w:val="32"/>
          <w:lang w:eastAsia="zh-CN"/>
        </w:rPr>
        <w:t>、用地核实工作。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bidi w:val="0"/>
        <w:snapToGrid/>
        <w:spacing w:line="580" w:lineRule="exact"/>
        <w:ind w:left="0" w:firstLine="624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pacing w:val="-4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-4"/>
          <w:sz w:val="32"/>
          <w:szCs w:val="32"/>
          <w:lang w:val="en-US" w:eastAsia="zh-CN"/>
        </w:rPr>
        <w:t>（四）创新发展模式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napToGrid w:val="0"/>
        <w:spacing w:beforeAutospacing="0" w:afterAutospacing="0" w:line="580" w:lineRule="exact"/>
        <w:ind w:left="0" w:right="0" w:firstLine="624" w:firstLineChars="2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  <w:lang w:val="en-US" w:eastAsia="zh-CN"/>
        </w:rPr>
        <w:t>1、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探索在已有茶园上开展光伏应用的示范项目建设，制定光伏茶园标准规范；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  <w:lang w:val="en-US" w:eastAsia="zh-CN"/>
        </w:rPr>
        <w:t>探索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水面光伏项目对水质、生态环境的影响，制定水面光伏生态化建设标准规范；探索在废弃土地（如矿坑）上建设光伏发电项目，增加土地可利用价值</w:t>
      </w:r>
      <w:r>
        <w:rPr>
          <w:rFonts w:hint="eastAsia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"/>
        </w:rPr>
        <w:t>；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highlight w:val="none"/>
          <w:lang w:val="en-US" w:eastAsia="zh-CN" w:bidi="ar"/>
        </w:rPr>
        <w:t>国家另有规定的除外。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kinsoku/>
        <w:wordWrap/>
        <w:overflowPunct/>
        <w:topLinePunct w:val="0"/>
        <w:bidi w:val="0"/>
        <w:snapToGrid/>
        <w:spacing w:line="58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产业集聚区、产业园区、科技园区、特色小镇、绿色低碳园区、绿色低碳工厂、低（零）碳示范村（社区）等开展以光伏为主体的多能互补、源网荷储、微电网等分布式综合能源站项目建设，建立能容纳高比例波动性电力的局域高弹性电力系统，实现能源生产和使用的智能化匹配及协同运行。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kinsoku/>
        <w:wordWrap/>
        <w:overflowPunct/>
        <w:topLinePunct w:val="0"/>
        <w:bidi w:val="0"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理顺光伏项目技改与退出机制。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鼓励既有光伏项目开展发电效能监测分析，并实施技术改造，提升发电效率与低碳效能；允许通过改造升级腾退屋顶资源新上光伏项目。光伏项目投资方、业主方、运营方或利益关联方不得擅自关停项目，擅自关停的，取消相关政策优惠；确实有需要的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应向当地发改部门提出申请并告知电网企业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numPr>
          <w:ilvl w:val="0"/>
          <w:numId w:val="5"/>
        </w:numPr>
        <w:kinsoku/>
        <w:overflowPunct/>
        <w:topLinePunct w:val="0"/>
        <w:bidi w:val="0"/>
        <w:spacing w:line="58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积极探索临时用地及建筑工地光伏开发利用机制、</w:t>
      </w:r>
      <w:r>
        <w:rPr>
          <w:rFonts w:hint="eastAsia" w:ascii="仿宋_GB2312" w:hAnsi="Calibri" w:eastAsia="仿宋_GB2312" w:cs="Times New Roman"/>
          <w:color w:val="000000"/>
          <w:spacing w:val="-4"/>
          <w:kern w:val="2"/>
          <w:sz w:val="32"/>
          <w:szCs w:val="32"/>
          <w:lang w:val="en-US" w:eastAsia="zh-CN" w:bidi="ar-SA"/>
        </w:rPr>
        <w:t>共有产权屋顶光伏建设机制、</w:t>
      </w:r>
      <w:r>
        <w:rPr>
          <w:rFonts w:hint="default" w:ascii="仿宋_GB2312" w:hAnsi="Calibri" w:eastAsia="仿宋_GB2312" w:cs="Times New Roman"/>
          <w:color w:val="000000"/>
          <w:spacing w:val="-4"/>
          <w:kern w:val="2"/>
          <w:sz w:val="32"/>
          <w:szCs w:val="32"/>
          <w:lang w:val="en-US" w:eastAsia="zh-CN" w:bidi="ar-SA"/>
        </w:rPr>
        <w:t>老旧小区改造光伏</w:t>
      </w:r>
      <w:r>
        <w:rPr>
          <w:rFonts w:hint="eastAsia" w:ascii="仿宋_GB2312" w:hAnsi="Calibri" w:eastAsia="仿宋_GB2312" w:cs="Times New Roman"/>
          <w:color w:val="000000"/>
          <w:spacing w:val="-4"/>
          <w:kern w:val="2"/>
          <w:sz w:val="32"/>
          <w:szCs w:val="32"/>
          <w:lang w:val="en-US" w:eastAsia="zh-CN" w:bidi="ar-SA"/>
        </w:rPr>
        <w:t>配套机制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kinsoku/>
        <w:wordWrap/>
        <w:overflowPunct/>
        <w:topLinePunct w:val="0"/>
        <w:bidi w:val="0"/>
        <w:snapToGrid/>
        <w:spacing w:line="580" w:lineRule="exact"/>
        <w:ind w:left="0" w:lef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加快升级杭州能源双碳数智平台，开展光伏发展潜力、运营模式、发电效率分析研判，服务企业项目申报、建设运营、补贴申领等工作，数字化赋能光伏发展。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58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三、政策支持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580" w:lineRule="exact"/>
        <w:ind w:left="0" w:right="0" w:firstLine="640" w:firstLineChars="200"/>
        <w:jc w:val="both"/>
        <w:textAlignment w:val="center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（一）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简化审批（备案）程序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580" w:lineRule="exact"/>
        <w:ind w:right="0"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各区、县（市）建立光伏项目集中审批绿色通道，优化新建建（构）筑物安装光伏的备案流程。简化新（在）建建（构）筑物光伏发电项目备案申请资料，允许以土地合法证明、建筑项目审批表等替代房屋产权证明材料，在项目并网申请阶段，以新建建筑项目赋码替代分布式光伏发电项目赋码，加快项目并网投运进程。制定项目准入负面清单和企业承诺事项清单。</w:t>
      </w:r>
      <w:r>
        <w:rPr>
          <w:rFonts w:hint="default" w:ascii="仿宋_GB2312" w:hAnsi="Times New Roman" w:eastAsia="仿宋_GB2312" w:cs="仿宋_GB2312"/>
          <w:spacing w:val="0"/>
          <w:kern w:val="0"/>
          <w:sz w:val="32"/>
          <w:szCs w:val="32"/>
          <w:lang w:val="en-US" w:eastAsia="zh-CN" w:bidi="ar"/>
        </w:rPr>
        <w:t>对以光伏为主体的多能互补、源网荷储、微电网等综合能源项目，可作为整体进行统一备案。建立负面清单制度，对涉嫌倒卖项目前期文件、长期占据资源不开发</w:t>
      </w:r>
      <w:r>
        <w:rPr>
          <w:rFonts w:hint="eastAsia" w:ascii="仿宋_GB2312" w:hAnsi="Times New Roman" w:eastAsia="仿宋_GB2312" w:cs="仿宋_GB2312"/>
          <w:spacing w:val="0"/>
          <w:kern w:val="0"/>
          <w:sz w:val="32"/>
          <w:szCs w:val="32"/>
          <w:lang w:val="en-US" w:eastAsia="zh-CN" w:bidi="ar"/>
        </w:rPr>
        <w:t>（超过项目备案两年）</w:t>
      </w:r>
      <w:r>
        <w:rPr>
          <w:rFonts w:hint="default" w:ascii="仿宋_GB2312" w:hAnsi="Times New Roman" w:eastAsia="仿宋_GB2312" w:cs="仿宋_GB2312"/>
          <w:spacing w:val="0"/>
          <w:kern w:val="0"/>
          <w:sz w:val="32"/>
          <w:szCs w:val="32"/>
          <w:lang w:val="en-US" w:eastAsia="zh-CN" w:bidi="ar"/>
        </w:rPr>
        <w:t>以及电站运维情况较差、农（林、渔）业实施不到位等业主及企业，经核实后纳入黑名单和电力领域失信联合惩戒对象名单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lang w:val="en-US" w:eastAsia="zh-CN" w:bidi="ar"/>
        </w:rPr>
        <w:t>。</w:t>
      </w:r>
    </w:p>
    <w:p>
      <w:pPr>
        <w:pStyle w:val="1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/>
        <w:spacing w:line="580" w:lineRule="exact"/>
        <w:ind w:firstLine="640" w:firstLineChars="200"/>
        <w:contextualSpacing/>
        <w:jc w:val="both"/>
        <w:textAlignment w:val="auto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"/>
        </w:rPr>
        <w:t>（二）建立光伏发电消纳保障机制。</w:t>
      </w:r>
    </w:p>
    <w:p>
      <w:pPr>
        <w:pStyle w:val="1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/>
        <w:spacing w:line="580" w:lineRule="exact"/>
        <w:ind w:left="0" w:firstLine="640" w:firstLineChars="200"/>
        <w:contextualSpacing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注重开发应用与电网接入消纳的有效衔接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电网公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司综合考虑本地区电网的承载能力、潮流电压、消纳情况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，进行用能、产能、储能的区域平衡。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加强对配电网的升级改造，倡导因地制宜、安全、经济的并网接入方式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保障光伏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的大规模接入需求，确保大量分布式光伏并网后的安全稳定运行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建立分布式光伏发电可接入容量和限制接入区域清单发布机制，</w:t>
      </w:r>
      <w:r>
        <w:rPr>
          <w:rFonts w:hint="eastAsia" w:ascii="仿宋_GB2312" w:hAnsi="仿宋_GB2312" w:eastAsia="仿宋_GB2312" w:cs="仿宋_GB2312"/>
          <w:sz w:val="32"/>
          <w:szCs w:val="32"/>
        </w:rPr>
        <w:t>实现合理并网消纳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bidi w:val="0"/>
        <w:snapToGrid/>
        <w:spacing w:line="58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"/>
        </w:rPr>
        <w:t>（三）加强政府项目建设管理。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bidi w:val="0"/>
        <w:spacing w:line="580" w:lineRule="exact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强化源头管理，公共机构、医院、学校等使用财政资金或以财政资金为主的公共建筑新建项目，原则上要把光伏作为重要内容统一规划设计；鼓励光伏项目采用市场化运作方式，引入社会力量投资。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bidi w:val="0"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"/>
        </w:rPr>
        <w:t>（四）加强用地保障。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bidi w:val="0"/>
        <w:snapToGrid/>
        <w:spacing w:line="580" w:lineRule="exact"/>
        <w:ind w:left="0" w:firstLine="624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pacing w:val="-4"/>
          <w:sz w:val="32"/>
          <w:szCs w:val="32"/>
        </w:rPr>
        <w:t>结合新一轮国土空间规划</w:t>
      </w:r>
      <w:r>
        <w:rPr>
          <w:rFonts w:hint="eastAsia" w:ascii="仿宋_GB2312" w:eastAsia="仿宋_GB2312"/>
          <w:color w:val="000000"/>
          <w:spacing w:val="-4"/>
          <w:sz w:val="32"/>
          <w:szCs w:val="32"/>
          <w:lang w:eastAsia="zh-CN"/>
        </w:rPr>
        <w:t>调整工作</w:t>
      </w:r>
      <w:r>
        <w:rPr>
          <w:rFonts w:hint="eastAsia" w:ascii="仿宋_GB2312" w:eastAsia="仿宋_GB2312"/>
          <w:color w:val="000000"/>
          <w:spacing w:val="-4"/>
          <w:sz w:val="32"/>
          <w:szCs w:val="32"/>
        </w:rPr>
        <w:t>，在</w:t>
      </w:r>
      <w:r>
        <w:rPr>
          <w:rFonts w:hint="eastAsia" w:ascii="仿宋_GB2312" w:eastAsia="仿宋_GB2312"/>
          <w:color w:val="000000"/>
          <w:spacing w:val="-4"/>
          <w:sz w:val="32"/>
          <w:szCs w:val="32"/>
          <w:lang w:eastAsia="zh-CN"/>
        </w:rPr>
        <w:t>“三区三线”</w:t>
      </w:r>
      <w:r>
        <w:rPr>
          <w:rFonts w:hint="eastAsia" w:ascii="仿宋_GB2312" w:eastAsia="仿宋_GB2312"/>
          <w:color w:val="000000"/>
          <w:spacing w:val="-4"/>
          <w:sz w:val="32"/>
          <w:szCs w:val="32"/>
        </w:rPr>
        <w:t>的基础上，</w:t>
      </w:r>
      <w:r>
        <w:rPr>
          <w:rFonts w:hint="eastAsia" w:ascii="仿宋_GB2312" w:eastAsia="仿宋_GB2312"/>
          <w:sz w:val="32"/>
          <w:szCs w:val="32"/>
        </w:rPr>
        <w:t>加强对光伏发电项目国土空间、用地指标的保障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 w:val="0"/>
        <w:spacing w:beforeAutospacing="0" w:afterAutospacing="0" w:line="58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具体空间利用负面清单及复合用地政策按省发展改革委、省能源局、省林业局相关文件执行。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bidi w:val="0"/>
        <w:snapToGrid/>
        <w:spacing w:line="580" w:lineRule="exact"/>
        <w:ind w:firstLine="640" w:firstLineChars="200"/>
        <w:jc w:val="both"/>
        <w:textAlignment w:val="auto"/>
        <w:rPr>
          <w:rFonts w:hint="default" w:ascii="仿宋_GB2312" w:hAnsi="Calibri" w:eastAsia="仿宋_GB2312" w:cs="Times New Roman"/>
          <w:color w:val="000000"/>
          <w:spacing w:val="-4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"/>
        </w:rPr>
        <w:t>（五）实施财政激励政策。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bidi w:val="0"/>
        <w:snapToGrid/>
        <w:spacing w:line="580" w:lineRule="exact"/>
        <w:ind w:firstLine="624" w:firstLineChars="200"/>
        <w:jc w:val="both"/>
        <w:textAlignment w:val="auto"/>
        <w:rPr>
          <w:rFonts w:hint="default" w:ascii="仿宋_GB2312" w:hAnsi="Calibri" w:eastAsia="仿宋_GB2312" w:cs="Times New Roman"/>
          <w:color w:val="000000"/>
          <w:spacing w:val="-4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color w:val="000000"/>
          <w:spacing w:val="-4"/>
          <w:kern w:val="2"/>
          <w:sz w:val="32"/>
          <w:szCs w:val="32"/>
          <w:lang w:val="en-US" w:eastAsia="zh-CN" w:bidi="ar-SA"/>
        </w:rPr>
        <w:t>鼓励各区、县（市）和各开发区（产业集聚区）结合实际出台光伏补贴政策。市财政每年安排一定资金对杭州市范围内</w:t>
      </w:r>
      <w:r>
        <w:rPr>
          <w:rFonts w:hint="default" w:ascii="仿宋_GB2312" w:hAnsi="Calibri" w:eastAsia="仿宋_GB2312" w:cs="Times New Roman"/>
          <w:color w:val="000000"/>
          <w:spacing w:val="-4"/>
          <w:kern w:val="2"/>
          <w:sz w:val="32"/>
          <w:szCs w:val="32"/>
          <w:lang w:val="en-US" w:eastAsia="zh-CN" w:bidi="ar-SA"/>
        </w:rPr>
        <w:t>20</w:t>
      </w:r>
      <w:r>
        <w:rPr>
          <w:rFonts w:hint="eastAsia" w:ascii="仿宋_GB2312" w:eastAsia="仿宋_GB2312" w:cs="Times New Roman"/>
          <w:color w:val="000000"/>
          <w:spacing w:val="-4"/>
          <w:kern w:val="2"/>
          <w:sz w:val="32"/>
          <w:szCs w:val="32"/>
          <w:lang w:val="en-US" w:eastAsia="zh-CN" w:bidi="ar-SA"/>
        </w:rPr>
        <w:t>21-</w:t>
      </w:r>
      <w:r>
        <w:rPr>
          <w:rFonts w:hint="default" w:ascii="仿宋_GB2312" w:hAnsi="Calibri" w:eastAsia="仿宋_GB2312" w:cs="Times New Roman"/>
          <w:color w:val="000000"/>
          <w:spacing w:val="-4"/>
          <w:kern w:val="2"/>
          <w:sz w:val="32"/>
          <w:szCs w:val="32"/>
          <w:lang w:val="en-US" w:eastAsia="zh-CN" w:bidi="ar-SA"/>
        </w:rPr>
        <w:t>20</w:t>
      </w:r>
      <w:r>
        <w:rPr>
          <w:rFonts w:hint="eastAsia" w:ascii="仿宋_GB2312" w:eastAsia="仿宋_GB2312" w:cs="Times New Roman"/>
          <w:color w:val="000000"/>
          <w:spacing w:val="-4"/>
          <w:kern w:val="2"/>
          <w:sz w:val="32"/>
          <w:szCs w:val="32"/>
          <w:lang w:val="en-US" w:eastAsia="zh-CN" w:bidi="ar-SA"/>
        </w:rPr>
        <w:t>25</w:t>
      </w:r>
      <w:r>
        <w:rPr>
          <w:rFonts w:hint="default" w:ascii="仿宋_GB2312" w:hAnsi="Calibri" w:eastAsia="仿宋_GB2312" w:cs="Times New Roman"/>
          <w:color w:val="000000"/>
          <w:spacing w:val="-4"/>
          <w:kern w:val="2"/>
          <w:sz w:val="32"/>
          <w:szCs w:val="32"/>
          <w:lang w:val="en-US" w:eastAsia="zh-CN" w:bidi="ar-SA"/>
        </w:rPr>
        <w:t>年期间</w:t>
      </w:r>
      <w:r>
        <w:rPr>
          <w:rFonts w:hint="eastAsia" w:ascii="仿宋_GB2312" w:eastAsia="仿宋_GB2312" w:cs="Times New Roman"/>
          <w:color w:val="000000"/>
          <w:spacing w:val="-4"/>
          <w:kern w:val="2"/>
          <w:sz w:val="32"/>
          <w:szCs w:val="32"/>
          <w:lang w:val="en-US" w:eastAsia="zh-CN" w:bidi="ar-SA"/>
        </w:rPr>
        <w:t>建成</w:t>
      </w:r>
      <w:r>
        <w:rPr>
          <w:rFonts w:hint="default" w:ascii="仿宋_GB2312" w:hAnsi="Calibri" w:eastAsia="仿宋_GB2312" w:cs="Times New Roman"/>
          <w:color w:val="000000"/>
          <w:spacing w:val="-4"/>
          <w:kern w:val="2"/>
          <w:sz w:val="32"/>
          <w:szCs w:val="32"/>
          <w:lang w:val="en-US" w:eastAsia="zh-CN" w:bidi="ar-SA"/>
        </w:rPr>
        <w:t>并网</w:t>
      </w:r>
      <w:r>
        <w:rPr>
          <w:rFonts w:hint="eastAsia" w:ascii="仿宋_GB2312" w:eastAsia="仿宋_GB2312" w:cs="Times New Roman"/>
          <w:color w:val="000000"/>
          <w:spacing w:val="-4"/>
          <w:kern w:val="2"/>
          <w:sz w:val="32"/>
          <w:szCs w:val="32"/>
          <w:lang w:val="en-US" w:eastAsia="zh-CN" w:bidi="ar-SA"/>
        </w:rPr>
        <w:t>的，且年光伏利用小时数超过900小时（由国网供电公司在并网满一年后出具相关证明文件）的光伏项目进行奖补。其中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上城、拱墅、西湖、滨江、钱塘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区</w:t>
      </w:r>
      <w:r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按 0.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2</w:t>
      </w:r>
      <w:r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元/瓦标准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其他地区</w:t>
      </w:r>
      <w:r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按 0.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1</w:t>
      </w:r>
      <w:r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元/瓦标准给予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投资主体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一次性建设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奖励。</w:t>
      </w:r>
      <w:r>
        <w:rPr>
          <w:rFonts w:hint="eastAsia" w:ascii="仿宋_GB2312" w:eastAsia="仿宋_GB2312" w:cs="Times New Roman"/>
          <w:color w:val="000000"/>
          <w:spacing w:val="-4"/>
          <w:kern w:val="2"/>
          <w:sz w:val="32"/>
          <w:szCs w:val="32"/>
          <w:lang w:val="en-US" w:eastAsia="zh-CN" w:bidi="ar-SA"/>
        </w:rPr>
        <w:t>奖补资金由市级财政根据各地光伏并网容量按年度划拨，各区、县（市）能源主管部门会同本级财政部门对拟享受奖补的项目进行汇总、核算并发放资金。具体细则由市发改委会同市财政局另行制定。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bidi w:val="0"/>
        <w:snapToGrid/>
        <w:spacing w:line="580" w:lineRule="exact"/>
        <w:ind w:firstLine="640" w:firstLineChars="200"/>
        <w:jc w:val="both"/>
        <w:textAlignment w:val="auto"/>
        <w:rPr>
          <w:rFonts w:hint="default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"/>
        </w:rPr>
        <w:t>（六）继续给予节能政策支持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80" w:lineRule="exact"/>
        <w:ind w:firstLine="64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cyan"/>
          <w:lang w:val="en-US" w:eastAsia="zh-CN" w:bidi="ar"/>
        </w:rPr>
      </w:pPr>
      <w:r>
        <w:rPr>
          <w:rFonts w:hint="eastAsia" w:ascii="仿宋_GB2312" w:eastAsia="仿宋_GB2312" w:cs="Times New Roman"/>
          <w:color w:val="000000"/>
          <w:spacing w:val="-4"/>
          <w:kern w:val="2"/>
          <w:sz w:val="32"/>
          <w:szCs w:val="32"/>
          <w:lang w:val="en-US" w:eastAsia="zh-CN" w:bidi="ar-SA"/>
        </w:rPr>
        <w:t>对建设分布式光伏发电项目的企业，在执行有序用电计划时根据其发电规模予以优先支持，在核算电价时其自发自用电量不计入阶梯电价适用范围；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新增</w:t>
      </w:r>
      <w:r>
        <w:rPr>
          <w:rFonts w:hint="eastAsia" w:asci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光伏发电</w:t>
      </w:r>
      <w:r>
        <w:rPr>
          <w:rFonts w:hint="eastAsia" w:ascii="仿宋_GB2312" w:eastAsia="仿宋_GB2312"/>
          <w:spacing w:val="-4"/>
          <w:sz w:val="32"/>
          <w:szCs w:val="32"/>
        </w:rPr>
        <w:t>“</w:t>
      </w:r>
      <w:r>
        <w:rPr>
          <w:rFonts w:hint="eastAsia" w:asci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十四五</w:t>
      </w:r>
      <w:r>
        <w:rPr>
          <w:rFonts w:hint="eastAsia" w:ascii="仿宋_GB2312" w:eastAsia="仿宋_GB2312"/>
          <w:spacing w:val="-4"/>
          <w:sz w:val="32"/>
          <w:szCs w:val="32"/>
        </w:rPr>
        <w:t>”</w:t>
      </w:r>
      <w:r>
        <w:rPr>
          <w:rFonts w:hint="eastAsia" w:asci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期间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不纳入各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区、县（市）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能源消费总量</w:t>
      </w:r>
      <w:r>
        <w:rPr>
          <w:rFonts w:hint="eastAsia" w:asci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考核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，可抵扣企业新上项目用能指标；</w:t>
      </w:r>
      <w:r>
        <w:rPr>
          <w:rFonts w:hint="eastAsia" w:ascii="仿宋_GB2312" w:eastAsia="仿宋_GB2312"/>
          <w:spacing w:val="-4"/>
          <w:sz w:val="32"/>
          <w:szCs w:val="32"/>
        </w:rPr>
        <w:t>在评选“绿色企业”时给予支持。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2" w:name="_Toc19955"/>
      <w:bookmarkStart w:id="3" w:name="_Toc19209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四、保障措施</w:t>
      </w:r>
      <w:bookmarkEnd w:id="2"/>
      <w:bookmarkEnd w:id="3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80" w:lineRule="exact"/>
        <w:ind w:left="0" w:firstLine="640" w:firstLineChars="200"/>
        <w:jc w:val="both"/>
        <w:rPr>
          <w:rFonts w:hint="eastAsia" w:ascii="仿宋_GB2312" w:eastAsia="仿宋_GB2312" w:cs="Times New Roman"/>
          <w:spacing w:val="-4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"/>
        </w:rPr>
        <w:t>（一）加强组织领导。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成立由市政府分管领导任组长，</w:t>
      </w:r>
      <w:r>
        <w:rPr>
          <w:rFonts w:hint="eastAsia" w:ascii="仿宋_GB2312" w:eastAsia="仿宋_GB2312"/>
          <w:spacing w:val="-4"/>
          <w:sz w:val="32"/>
          <w:szCs w:val="32"/>
        </w:rPr>
        <w:t>市直相关部门</w:t>
      </w:r>
      <w:r>
        <w:rPr>
          <w:rFonts w:hint="eastAsia" w:ascii="仿宋_GB2312" w:eastAsia="仿宋_GB2312"/>
          <w:spacing w:val="-4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pacing w:val="-4"/>
          <w:sz w:val="32"/>
          <w:szCs w:val="32"/>
        </w:rPr>
        <w:t>各</w:t>
      </w:r>
      <w:r>
        <w:rPr>
          <w:rFonts w:hint="eastAsia" w:ascii="仿宋_GB2312" w:eastAsia="仿宋_GB2312"/>
          <w:spacing w:val="-4"/>
          <w:sz w:val="32"/>
          <w:szCs w:val="32"/>
          <w:lang w:eastAsia="zh-CN"/>
        </w:rPr>
        <w:t>区、县</w:t>
      </w:r>
      <w:r>
        <w:rPr>
          <w:rFonts w:hint="eastAsia" w:ascii="仿宋_GB2312" w:eastAsia="仿宋_GB2312"/>
          <w:spacing w:val="-4"/>
          <w:sz w:val="32"/>
          <w:szCs w:val="32"/>
        </w:rPr>
        <w:t>（市）政府、管委会等单位主要负责人为成员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的新能源开发工作领导小组，</w:t>
      </w:r>
      <w:r>
        <w:rPr>
          <w:rFonts w:hint="eastAsia" w:ascii="仿宋_GB2312" w:eastAsia="仿宋_GB2312"/>
          <w:spacing w:val="-4"/>
          <w:sz w:val="32"/>
          <w:szCs w:val="32"/>
        </w:rPr>
        <w:t>统筹指导全市光伏</w:t>
      </w:r>
      <w:r>
        <w:rPr>
          <w:rFonts w:hint="eastAsia" w:ascii="仿宋_GB2312" w:eastAsia="仿宋_GB2312"/>
          <w:spacing w:val="-4"/>
          <w:sz w:val="32"/>
          <w:szCs w:val="32"/>
          <w:lang w:eastAsia="zh-CN"/>
        </w:rPr>
        <w:t>产业发展</w:t>
      </w:r>
      <w:r>
        <w:rPr>
          <w:rFonts w:hint="eastAsia" w:ascii="仿宋_GB2312" w:eastAsia="仿宋_GB2312"/>
          <w:spacing w:val="-4"/>
          <w:sz w:val="32"/>
          <w:szCs w:val="32"/>
        </w:rPr>
        <w:t>。领导小组下设工作专班，专班设在市发改委，负责领导小组日常工</w:t>
      </w:r>
      <w:r>
        <w:rPr>
          <w:rFonts w:hint="eastAsia" w:ascii="仿宋_GB2312" w:eastAsia="仿宋_GB2312" w:cs="Times New Roman"/>
          <w:spacing w:val="-4"/>
          <w:sz w:val="32"/>
          <w:szCs w:val="32"/>
        </w:rPr>
        <w:t>作</w:t>
      </w:r>
      <w:r>
        <w:rPr>
          <w:rFonts w:hint="eastAsia" w:ascii="仿宋_GB2312" w:eastAsia="仿宋_GB2312" w:cs="Times New Roman"/>
          <w:spacing w:val="-4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80" w:lineRule="exact"/>
        <w:ind w:left="0" w:firstLine="608" w:firstLineChars="200"/>
        <w:jc w:val="both"/>
        <w:rPr>
          <w:rFonts w:hint="eastAsia" w:ascii="仿宋_GB2312" w:eastAsia="仿宋_GB2312" w:cs="Times New Roman"/>
          <w:spacing w:val="-4"/>
          <w:w w:val="95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w w:val="95"/>
          <w:kern w:val="0"/>
          <w:sz w:val="32"/>
          <w:szCs w:val="32"/>
          <w:lang w:val="en-US" w:eastAsia="zh-CN" w:bidi="ar"/>
        </w:rPr>
        <w:t>（二）强化考核评估。</w:t>
      </w:r>
      <w:r>
        <w:rPr>
          <w:rFonts w:hint="eastAsia" w:ascii="仿宋_GB2312" w:eastAsia="仿宋_GB2312"/>
          <w:spacing w:val="-4"/>
          <w:w w:val="95"/>
          <w:sz w:val="32"/>
          <w:szCs w:val="32"/>
        </w:rPr>
        <w:t>市级各部门要按照碳达峰碳中和的目标要求，摸清基数，科学评估安装可行性，制定</w:t>
      </w:r>
      <w:r>
        <w:rPr>
          <w:rFonts w:hint="eastAsia" w:ascii="仿宋_GB2312" w:eastAsia="仿宋_GB2312"/>
          <w:spacing w:val="-4"/>
          <w:w w:val="95"/>
          <w:sz w:val="32"/>
          <w:szCs w:val="32"/>
          <w:lang w:eastAsia="zh-CN"/>
        </w:rPr>
        <w:t>各条线</w:t>
      </w:r>
      <w:r>
        <w:rPr>
          <w:rFonts w:hint="eastAsia" w:ascii="仿宋_GB2312" w:eastAsia="仿宋_GB2312"/>
          <w:spacing w:val="-4"/>
          <w:w w:val="95"/>
          <w:sz w:val="32"/>
          <w:szCs w:val="32"/>
        </w:rPr>
        <w:t>促进光伏发展</w:t>
      </w:r>
      <w:r>
        <w:rPr>
          <w:rFonts w:hint="eastAsia" w:ascii="仿宋_GB2312" w:eastAsia="仿宋_GB2312"/>
          <w:spacing w:val="-4"/>
          <w:w w:val="95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spacing w:val="-4"/>
          <w:w w:val="95"/>
          <w:sz w:val="32"/>
          <w:szCs w:val="32"/>
        </w:rPr>
        <w:t>细化方案，明确推广计划，压实工作责任。各</w:t>
      </w:r>
      <w:r>
        <w:rPr>
          <w:rFonts w:hint="eastAsia" w:ascii="仿宋_GB2312" w:eastAsia="仿宋_GB2312"/>
          <w:spacing w:val="-4"/>
          <w:w w:val="95"/>
          <w:sz w:val="32"/>
          <w:szCs w:val="32"/>
          <w:lang w:eastAsia="zh-CN"/>
        </w:rPr>
        <w:t>区、县</w:t>
      </w:r>
      <w:r>
        <w:rPr>
          <w:rFonts w:hint="eastAsia" w:ascii="仿宋_GB2312" w:eastAsia="仿宋_GB2312"/>
          <w:spacing w:val="-4"/>
          <w:w w:val="95"/>
          <w:sz w:val="32"/>
          <w:szCs w:val="32"/>
        </w:rPr>
        <w:t>（市）、开发区（园区）要将光伏发展作为能源转型工作的重点，制定“十四五”光伏发展实施方案和年度光伏发展目标，落实开发任务。建立考核评价和定期通报制度，将光伏发展纳入</w:t>
      </w:r>
      <w:r>
        <w:rPr>
          <w:rFonts w:hint="eastAsia" w:ascii="仿宋_GB2312" w:eastAsia="仿宋_GB2312"/>
          <w:spacing w:val="-4"/>
          <w:w w:val="95"/>
          <w:sz w:val="32"/>
          <w:szCs w:val="32"/>
          <w:lang w:eastAsia="zh-CN"/>
        </w:rPr>
        <w:t>区、县</w:t>
      </w:r>
      <w:r>
        <w:rPr>
          <w:rFonts w:hint="eastAsia" w:ascii="仿宋_GB2312" w:eastAsia="仿宋_GB2312"/>
          <w:spacing w:val="-4"/>
          <w:w w:val="95"/>
          <w:sz w:val="32"/>
          <w:szCs w:val="32"/>
        </w:rPr>
        <w:t>（市）</w:t>
      </w:r>
      <w:r>
        <w:rPr>
          <w:rFonts w:hint="eastAsia" w:ascii="仿宋_GB2312" w:eastAsia="仿宋_GB2312"/>
          <w:spacing w:val="-4"/>
          <w:w w:val="95"/>
          <w:sz w:val="32"/>
          <w:szCs w:val="32"/>
          <w:lang w:eastAsia="zh-CN"/>
        </w:rPr>
        <w:t>、市直单位能源双控考核</w:t>
      </w:r>
      <w:r>
        <w:rPr>
          <w:rFonts w:hint="eastAsia" w:ascii="仿宋_GB2312" w:eastAsia="仿宋_GB2312" w:cs="Times New Roman"/>
          <w:spacing w:val="-4"/>
          <w:w w:val="95"/>
          <w:sz w:val="32"/>
          <w:szCs w:val="32"/>
        </w:rPr>
        <w:t>。</w:t>
      </w:r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580" w:lineRule="exact"/>
        <w:ind w:left="0" w:firstLine="640"/>
        <w:contextualSpacing/>
        <w:jc w:val="both"/>
        <w:textAlignment w:val="auto"/>
        <w:rPr>
          <w:rFonts w:hint="eastAsia" w:ascii="仿宋_GB2312" w:hAnsi="Times New Roman" w:eastAsia="仿宋_GB2312" w:cs="Times New Roman"/>
          <w:spacing w:val="-4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highlight w:val="none"/>
          <w:lang w:val="en-US" w:eastAsia="zh-CN" w:bidi="ar"/>
        </w:rPr>
        <w:t>（三）严控质量及安全管理。</w:t>
      </w:r>
      <w:r>
        <w:rPr>
          <w:rFonts w:hint="eastAsia" w:ascii="仿宋_GB2312" w:eastAsia="仿宋_GB2312"/>
          <w:spacing w:val="-4"/>
          <w:sz w:val="32"/>
          <w:szCs w:val="32"/>
        </w:rPr>
        <w:t>光伏选用设备必须是经过批准的认证机构认证且达标的产品，建设安装必须符合有关安全规范要求。</w:t>
      </w:r>
      <w:r>
        <w:rPr>
          <w:rFonts w:hint="eastAsia" w:ascii="仿宋_GB2312" w:eastAsia="仿宋_GB2312"/>
          <w:spacing w:val="-4"/>
          <w:sz w:val="32"/>
          <w:szCs w:val="32"/>
          <w:lang w:eastAsia="zh-CN"/>
        </w:rPr>
        <w:t>各地各部门要</w:t>
      </w:r>
      <w:r>
        <w:rPr>
          <w:rFonts w:hint="eastAsia" w:ascii="仿宋_GB2312" w:eastAsia="仿宋_GB2312"/>
          <w:spacing w:val="-4"/>
          <w:sz w:val="32"/>
          <w:szCs w:val="32"/>
        </w:rPr>
        <w:t>高度重视光伏</w:t>
      </w:r>
      <w:r>
        <w:rPr>
          <w:rFonts w:hint="eastAsia" w:ascii="仿宋_GB2312" w:eastAsia="仿宋_GB2312"/>
          <w:spacing w:val="-4"/>
          <w:sz w:val="32"/>
          <w:szCs w:val="32"/>
          <w:lang w:eastAsia="zh-CN"/>
        </w:rPr>
        <w:t>项目</w:t>
      </w:r>
      <w:r>
        <w:rPr>
          <w:rFonts w:hint="eastAsia" w:ascii="仿宋_GB2312" w:eastAsia="仿宋_GB2312"/>
          <w:spacing w:val="-4"/>
          <w:sz w:val="32"/>
          <w:szCs w:val="32"/>
        </w:rPr>
        <w:t>建设</w:t>
      </w:r>
      <w:r>
        <w:rPr>
          <w:rFonts w:hint="eastAsia" w:ascii="仿宋_GB2312" w:eastAsia="仿宋_GB2312"/>
          <w:spacing w:val="-4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spacing w:val="-4"/>
          <w:sz w:val="32"/>
          <w:szCs w:val="32"/>
        </w:rPr>
        <w:t>安全</w:t>
      </w:r>
      <w:r>
        <w:rPr>
          <w:rFonts w:hint="eastAsia" w:ascii="仿宋_GB2312" w:eastAsia="仿宋_GB2312"/>
          <w:spacing w:val="-4"/>
          <w:sz w:val="32"/>
          <w:szCs w:val="32"/>
          <w:lang w:eastAsia="zh-CN"/>
        </w:rPr>
        <w:t>工作</w:t>
      </w:r>
      <w:r>
        <w:rPr>
          <w:rFonts w:hint="eastAsia" w:ascii="仿宋_GB2312" w:eastAsia="仿宋_GB2312"/>
          <w:spacing w:val="-4"/>
          <w:sz w:val="32"/>
          <w:szCs w:val="32"/>
        </w:rPr>
        <w:t>，落实安全监管责任，</w:t>
      </w:r>
      <w:r>
        <w:rPr>
          <w:rFonts w:hint="eastAsia" w:ascii="仿宋_GB2312" w:hAnsi="Times New Roman" w:eastAsia="仿宋_GB2312" w:cs="Times New Roman"/>
          <w:spacing w:val="-4"/>
          <w:sz w:val="32"/>
          <w:szCs w:val="32"/>
        </w:rPr>
        <w:t>严守安全底线。建立光伏开发建设及运营商准入机制，保障光伏市场健康发展，防止恶性不良竞争</w:t>
      </w:r>
      <w:r>
        <w:rPr>
          <w:rFonts w:hint="eastAsia" w:ascii="仿宋_GB2312" w:eastAsia="仿宋_GB2312" w:cs="Times New Roman"/>
          <w:spacing w:val="-4"/>
          <w:sz w:val="32"/>
          <w:szCs w:val="32"/>
          <w:lang w:eastAsia="zh-CN"/>
        </w:rPr>
        <w:t>。</w:t>
      </w:r>
      <w:r>
        <w:rPr>
          <w:rFonts w:hint="eastAsia" w:ascii="仿宋_GB2312" w:hAnsi="Times New Roman" w:eastAsia="仿宋_GB2312" w:cs="Times New Roman"/>
          <w:spacing w:val="-4"/>
          <w:sz w:val="32"/>
          <w:szCs w:val="32"/>
          <w:lang w:val="en-US" w:eastAsia="zh-CN"/>
        </w:rPr>
        <w:t>定期组织安全和质量抽查，定期公布光伏开发建设企业红黑名单，提高全市光伏建设开发水平。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firstLine="640" w:firstLineChars="200"/>
        <w:contextualSpacing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"/>
        </w:rPr>
        <w:t>（四）加大宣传引导。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充分利用报纸、电视、网络等媒介载体，全方位、多角度、立体式开展光伏建设的主题宣传，营造浓厚的社会氛围，激发各类社会主体投资光伏发电的积极性，引导广大城乡居民和企事业单位积极投入光伏建设。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"/>
        </w:rPr>
        <w:t>（五）创新融资服务。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积极利用政府产业基金支持光伏产业发展。引导金融机构运用光伏行业标准规范和认证，加大对光伏应用的绿色信贷支持。鼓励金融机构加强与光伏产业链相关单位、光伏开发商合作，加大光伏发电项目建设支持力度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FD56FB"/>
    <w:multiLevelType w:val="multilevel"/>
    <w:tmpl w:val="A5FD56F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firstLine="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firstLine="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firstLine="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firstLine="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firstLine="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firstLine="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firstLine="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firstLine="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firstLine="0"/>
      </w:pPr>
      <w:rPr>
        <w:rFonts w:hint="default" w:ascii="Symbol" w:hAnsi="Symbol" w:cs="Symbol"/>
        <w:sz w:val="20"/>
      </w:rPr>
    </w:lvl>
  </w:abstractNum>
  <w:abstractNum w:abstractNumId="1">
    <w:nsid w:val="CBFD2BDF"/>
    <w:multiLevelType w:val="singleLevel"/>
    <w:tmpl w:val="CBFD2BDF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DE9CBF84"/>
    <w:multiLevelType w:val="singleLevel"/>
    <w:tmpl w:val="DE9CBF8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FFEF1CB8"/>
    <w:multiLevelType w:val="singleLevel"/>
    <w:tmpl w:val="FFEF1CB8"/>
    <w:lvl w:ilvl="0" w:tentative="0">
      <w:start w:val="2"/>
      <w:numFmt w:val="decimal"/>
      <w:suff w:val="nothing"/>
      <w:lvlText w:val="%1、"/>
      <w:lvlJc w:val="left"/>
    </w:lvl>
  </w:abstractNum>
  <w:abstractNum w:abstractNumId="4">
    <w:nsid w:val="00000001"/>
    <w:multiLevelType w:val="multilevel"/>
    <w:tmpl w:val="00000001"/>
    <w:lvl w:ilvl="0" w:tentative="0">
      <w:start w:val="1"/>
      <w:numFmt w:val="decimal"/>
      <w:suff w:val="nothing"/>
      <w:lvlText w:val="%1　"/>
      <w:lvlJc w:val="left"/>
      <w:pPr>
        <w:ind w:left="0" w:firstLine="0"/>
      </w:pPr>
      <w:rPr>
        <w:rFonts w:hint="eastAsia" w:ascii="宋体" w:hAnsi="宋体" w:eastAsia="宋体"/>
        <w:b w:val="0"/>
        <w:i w:val="0"/>
        <w:sz w:val="24"/>
        <w:szCs w:val="24"/>
      </w:rPr>
    </w:lvl>
    <w:lvl w:ilvl="1" w:tentative="0">
      <w:start w:val="1"/>
      <w:numFmt w:val="decimal"/>
      <w:pStyle w:val="14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13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isplayHorizontalDrawingGridEvery w:val="1"/>
  <w:displayVerticalDrawingGridEvery w:val="1"/>
  <w:doNotUseMarginsForDrawingGridOrigin w:val="true"/>
  <w:drawingGridHorizontalOrigin w:val="1800"/>
  <w:drawingGridVerticalOrigin w:val="1440"/>
  <w:noPunctuationKerning w:val="true"/>
  <w:characterSpacingControl w:val="doNotCompress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96"/>
    <w:rsid w:val="00083C4E"/>
    <w:rsid w:val="00084CE9"/>
    <w:rsid w:val="0008545A"/>
    <w:rsid w:val="000A59AB"/>
    <w:rsid w:val="000C6018"/>
    <w:rsid w:val="001C0596"/>
    <w:rsid w:val="001E1818"/>
    <w:rsid w:val="002046C7"/>
    <w:rsid w:val="00264EA2"/>
    <w:rsid w:val="002674F7"/>
    <w:rsid w:val="003D5159"/>
    <w:rsid w:val="005F6AF6"/>
    <w:rsid w:val="0067559E"/>
    <w:rsid w:val="007914D4"/>
    <w:rsid w:val="008A1297"/>
    <w:rsid w:val="008B1493"/>
    <w:rsid w:val="00940F57"/>
    <w:rsid w:val="00956414"/>
    <w:rsid w:val="00A031F6"/>
    <w:rsid w:val="00A6682E"/>
    <w:rsid w:val="00A90E98"/>
    <w:rsid w:val="00AF0A05"/>
    <w:rsid w:val="00C02C64"/>
    <w:rsid w:val="00CD2563"/>
    <w:rsid w:val="00D17897"/>
    <w:rsid w:val="00D97F6C"/>
    <w:rsid w:val="00DD3282"/>
    <w:rsid w:val="00E4086C"/>
    <w:rsid w:val="00F25A78"/>
    <w:rsid w:val="00F71D8B"/>
    <w:rsid w:val="36DE3229"/>
    <w:rsid w:val="3E5803B2"/>
    <w:rsid w:val="3EFFB9BA"/>
    <w:rsid w:val="4CAE1053"/>
    <w:rsid w:val="557B7A07"/>
    <w:rsid w:val="5F965424"/>
    <w:rsid w:val="763DD235"/>
    <w:rsid w:val="7BAB606D"/>
    <w:rsid w:val="7D7AB67E"/>
    <w:rsid w:val="7DFB166E"/>
    <w:rsid w:val="7DFDADAA"/>
    <w:rsid w:val="7E5F4E67"/>
    <w:rsid w:val="7FF9F24E"/>
    <w:rsid w:val="7FFD51C1"/>
    <w:rsid w:val="7FFEE32B"/>
    <w:rsid w:val="A6690E86"/>
    <w:rsid w:val="B5F76FB7"/>
    <w:rsid w:val="BAEFA19B"/>
    <w:rsid w:val="BFFF616B"/>
    <w:rsid w:val="DE736B31"/>
    <w:rsid w:val="E7FD4F76"/>
    <w:rsid w:val="EFD6CE4B"/>
    <w:rsid w:val="F0BA2001"/>
    <w:rsid w:val="FB3568DE"/>
    <w:rsid w:val="FD2B1F83"/>
    <w:rsid w:val="FDEF8F5F"/>
    <w:rsid w:val="FF58847E"/>
    <w:rsid w:val="FFFF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/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NormalCharacter"/>
    <w:semiHidden/>
    <w:qFormat/>
    <w:uiPriority w:val="0"/>
  </w:style>
  <w:style w:type="table" w:customStyle="1" w:styleId="10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2">
    <w:name w:val="页脚 Char"/>
    <w:link w:val="3"/>
    <w:qFormat/>
    <w:uiPriority w:val="0"/>
    <w:rPr>
      <w:kern w:val="2"/>
      <w:sz w:val="18"/>
      <w:szCs w:val="18"/>
    </w:rPr>
  </w:style>
  <w:style w:type="paragraph" w:customStyle="1" w:styleId="13">
    <w:name w:val="二级条标题"/>
    <w:basedOn w:val="14"/>
    <w:next w:val="15"/>
    <w:qFormat/>
    <w:uiPriority w:val="0"/>
    <w:pPr>
      <w:numPr>
        <w:ilvl w:val="2"/>
        <w:numId w:val="1"/>
      </w:numPr>
      <w:spacing w:before="50" w:after="50"/>
      <w:outlineLvl w:val="3"/>
    </w:pPr>
    <w:rPr>
      <w:rFonts w:ascii="Times New Roman" w:hAnsi="Times New Roman" w:eastAsia="宋体" w:cs="Times New Roman"/>
    </w:rPr>
  </w:style>
  <w:style w:type="paragraph" w:customStyle="1" w:styleId="14">
    <w:name w:val="一级条标题"/>
    <w:next w:val="15"/>
    <w:qFormat/>
    <w:uiPriority w:val="0"/>
    <w:pPr>
      <w:numPr>
        <w:ilvl w:val="1"/>
        <w:numId w:val="1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5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6">
    <w:name w:val="列出段落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74</Words>
  <Characters>425</Characters>
  <Lines>3</Lines>
  <Paragraphs>1</Paragraphs>
  <TotalTime>155</TotalTime>
  <ScaleCrop>false</ScaleCrop>
  <LinksUpToDate>false</LinksUpToDate>
  <CharactersWithSpaces>498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2021-07-05T23:02:00Z</dcterms:created>
  <dc:creator>zjb</dc:creator>
  <cp:lastModifiedBy>user</cp:lastModifiedBy>
  <cp:lastPrinted>2022-03-31T01:23:00Z</cp:lastPrinted>
  <dcterms:modified xsi:type="dcterms:W3CDTF">2022-03-30T12:47:32Z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