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D66F5" w14:textId="77777777" w:rsidR="003027D9" w:rsidRDefault="003027D9">
      <w:pPr>
        <w:ind w:firstLineChars="0" w:firstLine="0"/>
        <w:jc w:val="center"/>
        <w:rPr>
          <w:sz w:val="52"/>
          <w:szCs w:val="52"/>
        </w:rPr>
      </w:pPr>
    </w:p>
    <w:p w14:paraId="4323B984" w14:textId="77777777" w:rsidR="009E0285" w:rsidRDefault="009E0285">
      <w:pPr>
        <w:ind w:firstLineChars="0" w:firstLine="0"/>
        <w:jc w:val="center"/>
        <w:rPr>
          <w:sz w:val="52"/>
          <w:szCs w:val="52"/>
        </w:rPr>
      </w:pPr>
    </w:p>
    <w:p w14:paraId="4C90E82D" w14:textId="77777777" w:rsidR="003027D9" w:rsidRDefault="003027D9">
      <w:pPr>
        <w:ind w:firstLineChars="0" w:firstLine="0"/>
        <w:jc w:val="center"/>
        <w:rPr>
          <w:sz w:val="52"/>
          <w:szCs w:val="52"/>
        </w:rPr>
      </w:pPr>
    </w:p>
    <w:p w14:paraId="6E27DD69" w14:textId="77777777" w:rsidR="003027D9" w:rsidRDefault="003027D9">
      <w:pPr>
        <w:ind w:firstLineChars="0" w:firstLine="0"/>
        <w:jc w:val="center"/>
        <w:rPr>
          <w:sz w:val="52"/>
          <w:szCs w:val="52"/>
        </w:rPr>
      </w:pPr>
    </w:p>
    <w:p w14:paraId="0A6607E6" w14:textId="77777777" w:rsidR="003027D9" w:rsidRDefault="003027D9">
      <w:pPr>
        <w:ind w:firstLineChars="0" w:firstLine="0"/>
        <w:jc w:val="center"/>
        <w:rPr>
          <w:sz w:val="52"/>
          <w:szCs w:val="52"/>
        </w:rPr>
      </w:pPr>
    </w:p>
    <w:p w14:paraId="0749B4AF" w14:textId="77777777" w:rsidR="00A120A7" w:rsidRPr="00D67A4B" w:rsidRDefault="00DE57C7">
      <w:pPr>
        <w:ind w:firstLineChars="0" w:firstLine="0"/>
        <w:jc w:val="center"/>
        <w:rPr>
          <w:sz w:val="52"/>
          <w:szCs w:val="52"/>
        </w:rPr>
      </w:pPr>
      <w:r w:rsidRPr="00D67A4B">
        <w:rPr>
          <w:rFonts w:hint="eastAsia"/>
          <w:sz w:val="52"/>
          <w:szCs w:val="52"/>
        </w:rPr>
        <w:t>杭州市商业综合体</w:t>
      </w:r>
      <w:r w:rsidR="006F7878">
        <w:rPr>
          <w:rFonts w:hint="eastAsia"/>
          <w:sz w:val="52"/>
          <w:szCs w:val="52"/>
        </w:rPr>
        <w:t>合理用能指南</w:t>
      </w:r>
    </w:p>
    <w:p w14:paraId="31A564E8" w14:textId="77777777" w:rsidR="0083712D" w:rsidRDefault="0083712D">
      <w:pPr>
        <w:ind w:firstLineChars="0" w:firstLine="0"/>
        <w:jc w:val="center"/>
        <w:rPr>
          <w:sz w:val="44"/>
          <w:szCs w:val="44"/>
        </w:rPr>
      </w:pPr>
    </w:p>
    <w:p w14:paraId="311CEF20" w14:textId="5298FD27" w:rsidR="00802771" w:rsidRPr="00D67A4B" w:rsidRDefault="0083712D">
      <w:pPr>
        <w:ind w:firstLineChars="0" w:firstLine="0"/>
        <w:jc w:val="center"/>
        <w:rPr>
          <w:sz w:val="52"/>
          <w:szCs w:val="52"/>
        </w:rPr>
      </w:pPr>
      <w:r w:rsidRPr="00D67A4B">
        <w:rPr>
          <w:rFonts w:hint="eastAsia"/>
          <w:sz w:val="52"/>
          <w:szCs w:val="52"/>
        </w:rPr>
        <w:t>（</w:t>
      </w:r>
      <w:r w:rsidR="00905F20">
        <w:rPr>
          <w:rFonts w:hint="eastAsia"/>
          <w:sz w:val="52"/>
          <w:szCs w:val="52"/>
        </w:rPr>
        <w:t>征求意见稿</w:t>
      </w:r>
      <w:r w:rsidRPr="00D67A4B">
        <w:rPr>
          <w:rFonts w:hint="eastAsia"/>
          <w:sz w:val="52"/>
          <w:szCs w:val="52"/>
        </w:rPr>
        <w:t>）</w:t>
      </w:r>
    </w:p>
    <w:p w14:paraId="3E0E661B" w14:textId="77777777" w:rsidR="00A120A7" w:rsidRDefault="00A120A7">
      <w:pPr>
        <w:ind w:firstLineChars="0" w:firstLine="0"/>
      </w:pPr>
    </w:p>
    <w:p w14:paraId="496FFE96" w14:textId="77777777" w:rsidR="0083712D" w:rsidRDefault="0083712D">
      <w:pPr>
        <w:ind w:firstLineChars="0" w:firstLine="0"/>
      </w:pPr>
    </w:p>
    <w:p w14:paraId="6886A618" w14:textId="77777777" w:rsidR="0083712D" w:rsidRDefault="0083712D">
      <w:pPr>
        <w:ind w:firstLineChars="0" w:firstLine="0"/>
      </w:pPr>
    </w:p>
    <w:p w14:paraId="109ECC40" w14:textId="77777777" w:rsidR="0083712D" w:rsidRDefault="0083712D">
      <w:pPr>
        <w:ind w:firstLineChars="0" w:firstLine="0"/>
      </w:pPr>
    </w:p>
    <w:p w14:paraId="370E6B72" w14:textId="77777777" w:rsidR="0083712D" w:rsidRDefault="0083712D">
      <w:pPr>
        <w:ind w:firstLineChars="0" w:firstLine="0"/>
      </w:pPr>
    </w:p>
    <w:p w14:paraId="3F3CD718" w14:textId="77777777" w:rsidR="0083712D" w:rsidRDefault="0083712D">
      <w:pPr>
        <w:ind w:firstLineChars="0" w:firstLine="0"/>
      </w:pPr>
    </w:p>
    <w:p w14:paraId="1C149607" w14:textId="77777777" w:rsidR="00A120A7" w:rsidRDefault="00A120A7">
      <w:pPr>
        <w:ind w:firstLineChars="0" w:firstLine="0"/>
      </w:pPr>
    </w:p>
    <w:p w14:paraId="5CCC4A01" w14:textId="77777777" w:rsidR="00A120A7" w:rsidRDefault="00A120A7">
      <w:pPr>
        <w:ind w:firstLineChars="0" w:firstLine="0"/>
      </w:pPr>
    </w:p>
    <w:p w14:paraId="244002CC" w14:textId="77777777" w:rsidR="0083712D" w:rsidRDefault="0083712D">
      <w:pPr>
        <w:ind w:firstLineChars="0" w:firstLine="0"/>
      </w:pPr>
    </w:p>
    <w:p w14:paraId="46B81E4E" w14:textId="77777777" w:rsidR="00A120A7" w:rsidRDefault="00A120A7">
      <w:pPr>
        <w:ind w:firstLineChars="0" w:firstLine="0"/>
      </w:pPr>
    </w:p>
    <w:p w14:paraId="206F7A25" w14:textId="77777777" w:rsidR="005B2F4B" w:rsidRDefault="005B2F4B">
      <w:pPr>
        <w:ind w:firstLineChars="0" w:firstLine="0"/>
      </w:pPr>
    </w:p>
    <w:p w14:paraId="6FAD8ED1" w14:textId="77777777" w:rsidR="005B2F4B" w:rsidRDefault="005B2F4B">
      <w:pPr>
        <w:ind w:firstLineChars="0" w:firstLine="0"/>
      </w:pPr>
    </w:p>
    <w:p w14:paraId="704CDCA9" w14:textId="77777777" w:rsidR="005B2F4B" w:rsidRDefault="005B2F4B">
      <w:pPr>
        <w:ind w:firstLineChars="0" w:firstLine="0"/>
      </w:pPr>
    </w:p>
    <w:p w14:paraId="4FBA3F99" w14:textId="77777777" w:rsidR="005B2F4B" w:rsidRDefault="005B2F4B">
      <w:pPr>
        <w:ind w:firstLineChars="0" w:firstLine="0"/>
      </w:pPr>
    </w:p>
    <w:p w14:paraId="3726A254" w14:textId="77777777" w:rsidR="005B2F4B" w:rsidRDefault="005B2F4B">
      <w:pPr>
        <w:ind w:firstLineChars="0" w:firstLine="0"/>
      </w:pPr>
    </w:p>
    <w:sdt>
      <w:sdtPr>
        <w:rPr>
          <w:rFonts w:ascii="Tahoma" w:eastAsia="宋体" w:hAnsi="Tahoma" w:cs="Times New Roman"/>
          <w:color w:val="auto"/>
          <w:sz w:val="24"/>
          <w:szCs w:val="22"/>
          <w:lang w:val="zh-CN"/>
        </w:rPr>
        <w:id w:val="1541319604"/>
        <w:docPartObj>
          <w:docPartGallery w:val="Table of Contents"/>
          <w:docPartUnique/>
        </w:docPartObj>
      </w:sdtPr>
      <w:sdtEndPr>
        <w:rPr>
          <w:b/>
          <w:bCs/>
        </w:rPr>
      </w:sdtEndPr>
      <w:sdtContent>
        <w:p w14:paraId="05A38C4A" w14:textId="56772964" w:rsidR="008E63BB" w:rsidRDefault="008E63BB" w:rsidP="00940FEB">
          <w:pPr>
            <w:pStyle w:val="TOC"/>
            <w:ind w:firstLine="480"/>
            <w:jc w:val="center"/>
            <w:rPr>
              <w:color w:val="auto"/>
              <w:lang w:val="zh-CN"/>
            </w:rPr>
          </w:pPr>
          <w:r w:rsidRPr="00940FEB">
            <w:rPr>
              <w:color w:val="auto"/>
              <w:lang w:val="zh-CN"/>
            </w:rPr>
            <w:t>目录</w:t>
          </w:r>
        </w:p>
        <w:p w14:paraId="347BC01D" w14:textId="77777777" w:rsidR="00940FEB" w:rsidRPr="00940FEB" w:rsidRDefault="00940FEB" w:rsidP="00940FEB">
          <w:pPr>
            <w:ind w:firstLine="480"/>
            <w:rPr>
              <w:lang w:val="zh-CN"/>
            </w:rPr>
          </w:pPr>
        </w:p>
        <w:p w14:paraId="109B0626" w14:textId="74B17719" w:rsidR="00905F20" w:rsidRDefault="008E63BB">
          <w:pPr>
            <w:pStyle w:val="TOC2"/>
            <w:tabs>
              <w:tab w:val="right" w:leader="dot" w:pos="8296"/>
            </w:tabs>
            <w:ind w:left="480" w:firstLine="480"/>
            <w:rPr>
              <w:rFonts w:asciiTheme="minorHAnsi" w:eastAsiaTheme="minorEastAsia" w:hAnsiTheme="minorHAnsi" w:cstheme="minorBidi"/>
              <w:noProof/>
              <w:kern w:val="2"/>
              <w:sz w:val="21"/>
            </w:rPr>
          </w:pPr>
          <w:r>
            <w:fldChar w:fldCharType="begin"/>
          </w:r>
          <w:r>
            <w:instrText xml:space="preserve"> TOC \o "1-3" \h \z \u </w:instrText>
          </w:r>
          <w:r>
            <w:fldChar w:fldCharType="separate"/>
          </w:r>
          <w:hyperlink w:anchor="_Toc64983948" w:history="1">
            <w:r w:rsidR="00905F20" w:rsidRPr="002E3A81">
              <w:rPr>
                <w:rStyle w:val="af4"/>
                <w:noProof/>
              </w:rPr>
              <w:t xml:space="preserve">1  </w:t>
            </w:r>
            <w:r w:rsidR="00905F20" w:rsidRPr="002E3A81">
              <w:rPr>
                <w:rStyle w:val="af4"/>
                <w:noProof/>
              </w:rPr>
              <w:t>总则</w:t>
            </w:r>
            <w:r w:rsidR="00905F20">
              <w:rPr>
                <w:noProof/>
                <w:webHidden/>
              </w:rPr>
              <w:tab/>
            </w:r>
            <w:r w:rsidR="00905F20">
              <w:rPr>
                <w:noProof/>
                <w:webHidden/>
              </w:rPr>
              <w:fldChar w:fldCharType="begin"/>
            </w:r>
            <w:r w:rsidR="00905F20">
              <w:rPr>
                <w:noProof/>
                <w:webHidden/>
              </w:rPr>
              <w:instrText xml:space="preserve"> PAGEREF _Toc64983948 \h </w:instrText>
            </w:r>
            <w:r w:rsidR="00905F20">
              <w:rPr>
                <w:noProof/>
                <w:webHidden/>
              </w:rPr>
            </w:r>
            <w:r w:rsidR="00905F20">
              <w:rPr>
                <w:noProof/>
                <w:webHidden/>
              </w:rPr>
              <w:fldChar w:fldCharType="separate"/>
            </w:r>
            <w:r w:rsidR="00905F20">
              <w:rPr>
                <w:noProof/>
                <w:webHidden/>
              </w:rPr>
              <w:t>1</w:t>
            </w:r>
            <w:r w:rsidR="00905F20">
              <w:rPr>
                <w:noProof/>
                <w:webHidden/>
              </w:rPr>
              <w:fldChar w:fldCharType="end"/>
            </w:r>
          </w:hyperlink>
        </w:p>
        <w:p w14:paraId="2647965B" w14:textId="7598C818" w:rsidR="00905F20" w:rsidRDefault="00905F20">
          <w:pPr>
            <w:pStyle w:val="TOC2"/>
            <w:tabs>
              <w:tab w:val="right" w:leader="dot" w:pos="8296"/>
            </w:tabs>
            <w:ind w:left="480" w:firstLine="480"/>
            <w:rPr>
              <w:rFonts w:asciiTheme="minorHAnsi" w:eastAsiaTheme="minorEastAsia" w:hAnsiTheme="minorHAnsi" w:cstheme="minorBidi"/>
              <w:noProof/>
              <w:kern w:val="2"/>
              <w:sz w:val="21"/>
            </w:rPr>
          </w:pPr>
          <w:hyperlink w:anchor="_Toc64983949" w:history="1">
            <w:r w:rsidRPr="002E3A81">
              <w:rPr>
                <w:rStyle w:val="af4"/>
                <w:noProof/>
              </w:rPr>
              <w:t xml:space="preserve">2  </w:t>
            </w:r>
            <w:r w:rsidRPr="002E3A81">
              <w:rPr>
                <w:rStyle w:val="af4"/>
                <w:noProof/>
              </w:rPr>
              <w:t>术语</w:t>
            </w:r>
            <w:r>
              <w:rPr>
                <w:noProof/>
                <w:webHidden/>
              </w:rPr>
              <w:tab/>
            </w:r>
            <w:r>
              <w:rPr>
                <w:noProof/>
                <w:webHidden/>
              </w:rPr>
              <w:fldChar w:fldCharType="begin"/>
            </w:r>
            <w:r>
              <w:rPr>
                <w:noProof/>
                <w:webHidden/>
              </w:rPr>
              <w:instrText xml:space="preserve"> PAGEREF _Toc64983949 \h </w:instrText>
            </w:r>
            <w:r>
              <w:rPr>
                <w:noProof/>
                <w:webHidden/>
              </w:rPr>
            </w:r>
            <w:r>
              <w:rPr>
                <w:noProof/>
                <w:webHidden/>
              </w:rPr>
              <w:fldChar w:fldCharType="separate"/>
            </w:r>
            <w:r>
              <w:rPr>
                <w:noProof/>
                <w:webHidden/>
              </w:rPr>
              <w:t>1</w:t>
            </w:r>
            <w:r>
              <w:rPr>
                <w:noProof/>
                <w:webHidden/>
              </w:rPr>
              <w:fldChar w:fldCharType="end"/>
            </w:r>
          </w:hyperlink>
        </w:p>
        <w:p w14:paraId="235FDD87" w14:textId="279BD8F1" w:rsidR="00905F20" w:rsidRDefault="00905F20">
          <w:pPr>
            <w:pStyle w:val="TOC2"/>
            <w:tabs>
              <w:tab w:val="right" w:leader="dot" w:pos="8296"/>
            </w:tabs>
            <w:ind w:left="480" w:firstLine="480"/>
            <w:rPr>
              <w:rFonts w:asciiTheme="minorHAnsi" w:eastAsiaTheme="minorEastAsia" w:hAnsiTheme="minorHAnsi" w:cstheme="minorBidi"/>
              <w:noProof/>
              <w:kern w:val="2"/>
              <w:sz w:val="21"/>
            </w:rPr>
          </w:pPr>
          <w:hyperlink w:anchor="_Toc64983950" w:history="1">
            <w:r w:rsidRPr="002E3A81">
              <w:rPr>
                <w:rStyle w:val="af4"/>
                <w:noProof/>
              </w:rPr>
              <w:t xml:space="preserve">3  </w:t>
            </w:r>
            <w:r w:rsidRPr="002E3A81">
              <w:rPr>
                <w:rStyle w:val="af4"/>
                <w:noProof/>
              </w:rPr>
              <w:t>能耗指标</w:t>
            </w:r>
            <w:r>
              <w:rPr>
                <w:noProof/>
                <w:webHidden/>
              </w:rPr>
              <w:tab/>
            </w:r>
            <w:r>
              <w:rPr>
                <w:noProof/>
                <w:webHidden/>
              </w:rPr>
              <w:fldChar w:fldCharType="begin"/>
            </w:r>
            <w:r>
              <w:rPr>
                <w:noProof/>
                <w:webHidden/>
              </w:rPr>
              <w:instrText xml:space="preserve"> PAGEREF _Toc64983950 \h </w:instrText>
            </w:r>
            <w:r>
              <w:rPr>
                <w:noProof/>
                <w:webHidden/>
              </w:rPr>
            </w:r>
            <w:r>
              <w:rPr>
                <w:noProof/>
                <w:webHidden/>
              </w:rPr>
              <w:fldChar w:fldCharType="separate"/>
            </w:r>
            <w:r>
              <w:rPr>
                <w:noProof/>
                <w:webHidden/>
              </w:rPr>
              <w:t>2</w:t>
            </w:r>
            <w:r>
              <w:rPr>
                <w:noProof/>
                <w:webHidden/>
              </w:rPr>
              <w:fldChar w:fldCharType="end"/>
            </w:r>
          </w:hyperlink>
        </w:p>
        <w:p w14:paraId="2FC24DEC" w14:textId="53958A23" w:rsidR="00905F20" w:rsidRDefault="00905F20">
          <w:pPr>
            <w:pStyle w:val="TOC2"/>
            <w:tabs>
              <w:tab w:val="right" w:leader="dot" w:pos="8296"/>
            </w:tabs>
            <w:ind w:left="480" w:firstLine="480"/>
            <w:rPr>
              <w:rFonts w:asciiTheme="minorHAnsi" w:eastAsiaTheme="minorEastAsia" w:hAnsiTheme="minorHAnsi" w:cstheme="minorBidi"/>
              <w:noProof/>
              <w:kern w:val="2"/>
              <w:sz w:val="21"/>
            </w:rPr>
          </w:pPr>
          <w:hyperlink w:anchor="_Toc64983951" w:history="1">
            <w:r w:rsidRPr="002E3A81">
              <w:rPr>
                <w:rStyle w:val="af4"/>
                <w:noProof/>
              </w:rPr>
              <w:t xml:space="preserve">4  </w:t>
            </w:r>
            <w:r w:rsidRPr="002E3A81">
              <w:rPr>
                <w:rStyle w:val="af4"/>
                <w:noProof/>
              </w:rPr>
              <w:t>能耗统计和计算</w:t>
            </w:r>
            <w:r>
              <w:rPr>
                <w:noProof/>
                <w:webHidden/>
              </w:rPr>
              <w:tab/>
            </w:r>
            <w:r>
              <w:rPr>
                <w:noProof/>
                <w:webHidden/>
              </w:rPr>
              <w:fldChar w:fldCharType="begin"/>
            </w:r>
            <w:r>
              <w:rPr>
                <w:noProof/>
                <w:webHidden/>
              </w:rPr>
              <w:instrText xml:space="preserve"> PAGEREF _Toc64983951 \h </w:instrText>
            </w:r>
            <w:r>
              <w:rPr>
                <w:noProof/>
                <w:webHidden/>
              </w:rPr>
            </w:r>
            <w:r>
              <w:rPr>
                <w:noProof/>
                <w:webHidden/>
              </w:rPr>
              <w:fldChar w:fldCharType="separate"/>
            </w:r>
            <w:r>
              <w:rPr>
                <w:noProof/>
                <w:webHidden/>
              </w:rPr>
              <w:t>3</w:t>
            </w:r>
            <w:r>
              <w:rPr>
                <w:noProof/>
                <w:webHidden/>
              </w:rPr>
              <w:fldChar w:fldCharType="end"/>
            </w:r>
          </w:hyperlink>
        </w:p>
        <w:p w14:paraId="4C343452" w14:textId="68DB0D86" w:rsidR="00905F20" w:rsidRDefault="00905F20">
          <w:pPr>
            <w:pStyle w:val="TOC2"/>
            <w:tabs>
              <w:tab w:val="right" w:leader="dot" w:pos="8296"/>
            </w:tabs>
            <w:ind w:left="480" w:firstLine="480"/>
            <w:rPr>
              <w:rFonts w:asciiTheme="minorHAnsi" w:eastAsiaTheme="minorEastAsia" w:hAnsiTheme="minorHAnsi" w:cstheme="minorBidi"/>
              <w:noProof/>
              <w:kern w:val="2"/>
              <w:sz w:val="21"/>
            </w:rPr>
          </w:pPr>
          <w:hyperlink w:anchor="_Toc64983952" w:history="1">
            <w:r w:rsidRPr="002E3A81">
              <w:rPr>
                <w:rStyle w:val="af4"/>
                <w:noProof/>
              </w:rPr>
              <w:t xml:space="preserve">4.1  </w:t>
            </w:r>
            <w:r w:rsidRPr="002E3A81">
              <w:rPr>
                <w:rStyle w:val="af4"/>
                <w:noProof/>
              </w:rPr>
              <w:t>建筑面积统计</w:t>
            </w:r>
            <w:r>
              <w:rPr>
                <w:noProof/>
                <w:webHidden/>
              </w:rPr>
              <w:tab/>
            </w:r>
            <w:r>
              <w:rPr>
                <w:noProof/>
                <w:webHidden/>
              </w:rPr>
              <w:fldChar w:fldCharType="begin"/>
            </w:r>
            <w:r>
              <w:rPr>
                <w:noProof/>
                <w:webHidden/>
              </w:rPr>
              <w:instrText xml:space="preserve"> PAGEREF _Toc64983952 \h </w:instrText>
            </w:r>
            <w:r>
              <w:rPr>
                <w:noProof/>
                <w:webHidden/>
              </w:rPr>
            </w:r>
            <w:r>
              <w:rPr>
                <w:noProof/>
                <w:webHidden/>
              </w:rPr>
              <w:fldChar w:fldCharType="separate"/>
            </w:r>
            <w:r>
              <w:rPr>
                <w:noProof/>
                <w:webHidden/>
              </w:rPr>
              <w:t>3</w:t>
            </w:r>
            <w:r>
              <w:rPr>
                <w:noProof/>
                <w:webHidden/>
              </w:rPr>
              <w:fldChar w:fldCharType="end"/>
            </w:r>
          </w:hyperlink>
        </w:p>
        <w:p w14:paraId="09C8029D" w14:textId="35C3BEA7" w:rsidR="00905F20" w:rsidRDefault="00905F20">
          <w:pPr>
            <w:pStyle w:val="TOC2"/>
            <w:tabs>
              <w:tab w:val="right" w:leader="dot" w:pos="8296"/>
            </w:tabs>
            <w:ind w:left="480" w:firstLine="480"/>
            <w:rPr>
              <w:rFonts w:asciiTheme="minorHAnsi" w:eastAsiaTheme="minorEastAsia" w:hAnsiTheme="minorHAnsi" w:cstheme="minorBidi"/>
              <w:noProof/>
              <w:kern w:val="2"/>
              <w:sz w:val="21"/>
            </w:rPr>
          </w:pPr>
          <w:hyperlink w:anchor="_Toc64983953" w:history="1">
            <w:r w:rsidRPr="002E3A81">
              <w:rPr>
                <w:rStyle w:val="af4"/>
                <w:noProof/>
              </w:rPr>
              <w:t xml:space="preserve">4.2  </w:t>
            </w:r>
            <w:r w:rsidRPr="002E3A81">
              <w:rPr>
                <w:rStyle w:val="af4"/>
                <w:noProof/>
              </w:rPr>
              <w:t>能耗统计</w:t>
            </w:r>
            <w:r>
              <w:rPr>
                <w:noProof/>
                <w:webHidden/>
              </w:rPr>
              <w:tab/>
            </w:r>
            <w:r>
              <w:rPr>
                <w:noProof/>
                <w:webHidden/>
              </w:rPr>
              <w:fldChar w:fldCharType="begin"/>
            </w:r>
            <w:r>
              <w:rPr>
                <w:noProof/>
                <w:webHidden/>
              </w:rPr>
              <w:instrText xml:space="preserve"> PAGEREF _Toc64983953 \h </w:instrText>
            </w:r>
            <w:r>
              <w:rPr>
                <w:noProof/>
                <w:webHidden/>
              </w:rPr>
            </w:r>
            <w:r>
              <w:rPr>
                <w:noProof/>
                <w:webHidden/>
              </w:rPr>
              <w:fldChar w:fldCharType="separate"/>
            </w:r>
            <w:r>
              <w:rPr>
                <w:noProof/>
                <w:webHidden/>
              </w:rPr>
              <w:t>4</w:t>
            </w:r>
            <w:r>
              <w:rPr>
                <w:noProof/>
                <w:webHidden/>
              </w:rPr>
              <w:fldChar w:fldCharType="end"/>
            </w:r>
          </w:hyperlink>
        </w:p>
        <w:p w14:paraId="5918E5D3" w14:textId="37E241FF" w:rsidR="00905F20" w:rsidRDefault="00905F20">
          <w:pPr>
            <w:pStyle w:val="TOC2"/>
            <w:tabs>
              <w:tab w:val="right" w:leader="dot" w:pos="8296"/>
            </w:tabs>
            <w:ind w:left="480" w:firstLine="480"/>
            <w:rPr>
              <w:rFonts w:asciiTheme="minorHAnsi" w:eastAsiaTheme="minorEastAsia" w:hAnsiTheme="minorHAnsi" w:cstheme="minorBidi"/>
              <w:noProof/>
              <w:kern w:val="2"/>
              <w:sz w:val="21"/>
            </w:rPr>
          </w:pPr>
          <w:hyperlink w:anchor="_Toc64983954" w:history="1">
            <w:r w:rsidRPr="002E3A81">
              <w:rPr>
                <w:rStyle w:val="af4"/>
                <w:noProof/>
              </w:rPr>
              <w:t xml:space="preserve">4.3  </w:t>
            </w:r>
            <w:r w:rsidRPr="002E3A81">
              <w:rPr>
                <w:rStyle w:val="af4"/>
                <w:noProof/>
              </w:rPr>
              <w:t>能耗指标计算</w:t>
            </w:r>
            <w:r>
              <w:rPr>
                <w:noProof/>
                <w:webHidden/>
              </w:rPr>
              <w:tab/>
            </w:r>
            <w:r>
              <w:rPr>
                <w:noProof/>
                <w:webHidden/>
              </w:rPr>
              <w:fldChar w:fldCharType="begin"/>
            </w:r>
            <w:r>
              <w:rPr>
                <w:noProof/>
                <w:webHidden/>
              </w:rPr>
              <w:instrText xml:space="preserve"> PAGEREF _Toc64983954 \h </w:instrText>
            </w:r>
            <w:r>
              <w:rPr>
                <w:noProof/>
                <w:webHidden/>
              </w:rPr>
            </w:r>
            <w:r>
              <w:rPr>
                <w:noProof/>
                <w:webHidden/>
              </w:rPr>
              <w:fldChar w:fldCharType="separate"/>
            </w:r>
            <w:r>
              <w:rPr>
                <w:noProof/>
                <w:webHidden/>
              </w:rPr>
              <w:t>5</w:t>
            </w:r>
            <w:r>
              <w:rPr>
                <w:noProof/>
                <w:webHidden/>
              </w:rPr>
              <w:fldChar w:fldCharType="end"/>
            </w:r>
          </w:hyperlink>
        </w:p>
        <w:p w14:paraId="2B35B09C" w14:textId="551CC3C7" w:rsidR="00905F20" w:rsidRDefault="00905F20">
          <w:pPr>
            <w:pStyle w:val="TOC2"/>
            <w:tabs>
              <w:tab w:val="right" w:leader="dot" w:pos="8296"/>
            </w:tabs>
            <w:ind w:left="480" w:firstLine="480"/>
            <w:rPr>
              <w:rFonts w:asciiTheme="minorHAnsi" w:eastAsiaTheme="minorEastAsia" w:hAnsiTheme="minorHAnsi" w:cstheme="minorBidi"/>
              <w:noProof/>
              <w:kern w:val="2"/>
              <w:sz w:val="21"/>
            </w:rPr>
          </w:pPr>
          <w:hyperlink w:anchor="_Toc64983955" w:history="1">
            <w:r w:rsidRPr="002E3A81">
              <w:rPr>
                <w:rStyle w:val="af4"/>
                <w:noProof/>
              </w:rPr>
              <w:t xml:space="preserve">5  </w:t>
            </w:r>
            <w:r w:rsidRPr="002E3A81">
              <w:rPr>
                <w:rStyle w:val="af4"/>
                <w:noProof/>
              </w:rPr>
              <w:t>能耗指标修正</w:t>
            </w:r>
            <w:r>
              <w:rPr>
                <w:noProof/>
                <w:webHidden/>
              </w:rPr>
              <w:tab/>
            </w:r>
            <w:r>
              <w:rPr>
                <w:noProof/>
                <w:webHidden/>
              </w:rPr>
              <w:fldChar w:fldCharType="begin"/>
            </w:r>
            <w:r>
              <w:rPr>
                <w:noProof/>
                <w:webHidden/>
              </w:rPr>
              <w:instrText xml:space="preserve"> PAGEREF _Toc64983955 \h </w:instrText>
            </w:r>
            <w:r>
              <w:rPr>
                <w:noProof/>
                <w:webHidden/>
              </w:rPr>
            </w:r>
            <w:r>
              <w:rPr>
                <w:noProof/>
                <w:webHidden/>
              </w:rPr>
              <w:fldChar w:fldCharType="separate"/>
            </w:r>
            <w:r>
              <w:rPr>
                <w:noProof/>
                <w:webHidden/>
              </w:rPr>
              <w:t>6</w:t>
            </w:r>
            <w:r>
              <w:rPr>
                <w:noProof/>
                <w:webHidden/>
              </w:rPr>
              <w:fldChar w:fldCharType="end"/>
            </w:r>
          </w:hyperlink>
        </w:p>
        <w:p w14:paraId="45C52C29" w14:textId="2A5F64B3" w:rsidR="00905F20" w:rsidRDefault="00905F20">
          <w:pPr>
            <w:pStyle w:val="TOC2"/>
            <w:tabs>
              <w:tab w:val="right" w:leader="dot" w:pos="8296"/>
            </w:tabs>
            <w:ind w:left="480" w:firstLine="480"/>
            <w:rPr>
              <w:rFonts w:asciiTheme="minorHAnsi" w:eastAsiaTheme="minorEastAsia" w:hAnsiTheme="minorHAnsi" w:cstheme="minorBidi"/>
              <w:noProof/>
              <w:kern w:val="2"/>
              <w:sz w:val="21"/>
            </w:rPr>
          </w:pPr>
          <w:hyperlink w:anchor="_Toc64983956" w:history="1">
            <w:r w:rsidRPr="002E3A81">
              <w:rPr>
                <w:rStyle w:val="af4"/>
                <w:noProof/>
              </w:rPr>
              <w:t xml:space="preserve">6  </w:t>
            </w:r>
            <w:r w:rsidRPr="002E3A81">
              <w:rPr>
                <w:rStyle w:val="af4"/>
                <w:noProof/>
              </w:rPr>
              <w:t>用能管理</w:t>
            </w:r>
            <w:r>
              <w:rPr>
                <w:noProof/>
                <w:webHidden/>
              </w:rPr>
              <w:tab/>
            </w:r>
            <w:r>
              <w:rPr>
                <w:noProof/>
                <w:webHidden/>
              </w:rPr>
              <w:fldChar w:fldCharType="begin"/>
            </w:r>
            <w:r>
              <w:rPr>
                <w:noProof/>
                <w:webHidden/>
              </w:rPr>
              <w:instrText xml:space="preserve"> PAGEREF _Toc64983956 \h </w:instrText>
            </w:r>
            <w:r>
              <w:rPr>
                <w:noProof/>
                <w:webHidden/>
              </w:rPr>
            </w:r>
            <w:r>
              <w:rPr>
                <w:noProof/>
                <w:webHidden/>
              </w:rPr>
              <w:fldChar w:fldCharType="separate"/>
            </w:r>
            <w:r>
              <w:rPr>
                <w:noProof/>
                <w:webHidden/>
              </w:rPr>
              <w:t>7</w:t>
            </w:r>
            <w:r>
              <w:rPr>
                <w:noProof/>
                <w:webHidden/>
              </w:rPr>
              <w:fldChar w:fldCharType="end"/>
            </w:r>
          </w:hyperlink>
        </w:p>
        <w:p w14:paraId="383BF26B" w14:textId="3CAB9943" w:rsidR="00905F20" w:rsidRDefault="00905F20">
          <w:pPr>
            <w:pStyle w:val="TOC2"/>
            <w:tabs>
              <w:tab w:val="right" w:leader="dot" w:pos="8296"/>
            </w:tabs>
            <w:ind w:left="480" w:firstLine="480"/>
            <w:rPr>
              <w:rFonts w:asciiTheme="minorHAnsi" w:eastAsiaTheme="minorEastAsia" w:hAnsiTheme="minorHAnsi" w:cstheme="minorBidi"/>
              <w:noProof/>
              <w:kern w:val="2"/>
              <w:sz w:val="21"/>
            </w:rPr>
          </w:pPr>
          <w:hyperlink w:anchor="_Toc64983957" w:history="1">
            <w:r w:rsidRPr="002E3A81">
              <w:rPr>
                <w:rStyle w:val="af4"/>
                <w:noProof/>
              </w:rPr>
              <w:t>附录</w:t>
            </w:r>
            <w:r w:rsidRPr="002E3A81">
              <w:rPr>
                <w:rStyle w:val="af4"/>
                <w:noProof/>
              </w:rPr>
              <w:t xml:space="preserve">A  </w:t>
            </w:r>
            <w:r w:rsidRPr="002E3A81">
              <w:rPr>
                <w:rStyle w:val="af4"/>
                <w:noProof/>
              </w:rPr>
              <w:t>能耗折算系数</w:t>
            </w:r>
            <w:r>
              <w:rPr>
                <w:noProof/>
                <w:webHidden/>
              </w:rPr>
              <w:tab/>
            </w:r>
            <w:r>
              <w:rPr>
                <w:noProof/>
                <w:webHidden/>
              </w:rPr>
              <w:fldChar w:fldCharType="begin"/>
            </w:r>
            <w:r>
              <w:rPr>
                <w:noProof/>
                <w:webHidden/>
              </w:rPr>
              <w:instrText xml:space="preserve"> PAGEREF _Toc64983957 \h </w:instrText>
            </w:r>
            <w:r>
              <w:rPr>
                <w:noProof/>
                <w:webHidden/>
              </w:rPr>
            </w:r>
            <w:r>
              <w:rPr>
                <w:noProof/>
                <w:webHidden/>
              </w:rPr>
              <w:fldChar w:fldCharType="separate"/>
            </w:r>
            <w:r>
              <w:rPr>
                <w:noProof/>
                <w:webHidden/>
              </w:rPr>
              <w:t>9</w:t>
            </w:r>
            <w:r>
              <w:rPr>
                <w:noProof/>
                <w:webHidden/>
              </w:rPr>
              <w:fldChar w:fldCharType="end"/>
            </w:r>
          </w:hyperlink>
        </w:p>
        <w:p w14:paraId="6ECFBE52" w14:textId="76F79E5A" w:rsidR="00905F20" w:rsidRDefault="00905F20">
          <w:pPr>
            <w:pStyle w:val="TOC2"/>
            <w:tabs>
              <w:tab w:val="right" w:leader="dot" w:pos="8296"/>
            </w:tabs>
            <w:ind w:left="480" w:firstLine="480"/>
            <w:rPr>
              <w:rFonts w:asciiTheme="minorHAnsi" w:eastAsiaTheme="minorEastAsia" w:hAnsiTheme="minorHAnsi" w:cstheme="minorBidi"/>
              <w:noProof/>
              <w:kern w:val="2"/>
              <w:sz w:val="21"/>
            </w:rPr>
          </w:pPr>
          <w:hyperlink w:anchor="_Toc64983958" w:history="1">
            <w:r w:rsidRPr="002E3A81">
              <w:rPr>
                <w:rStyle w:val="af4"/>
                <w:noProof/>
              </w:rPr>
              <w:t>附录</w:t>
            </w:r>
            <w:r w:rsidRPr="002E3A81">
              <w:rPr>
                <w:rStyle w:val="af4"/>
                <w:noProof/>
              </w:rPr>
              <w:t xml:space="preserve">B  </w:t>
            </w:r>
            <w:r w:rsidRPr="002E3A81">
              <w:rPr>
                <w:rStyle w:val="af4"/>
                <w:noProof/>
              </w:rPr>
              <w:t>各细分</w:t>
            </w:r>
            <w:r w:rsidRPr="002E3A81">
              <w:rPr>
                <w:rStyle w:val="af4"/>
                <w:noProof/>
              </w:rPr>
              <w:t>业</w:t>
            </w:r>
            <w:r w:rsidRPr="002E3A81">
              <w:rPr>
                <w:rStyle w:val="af4"/>
                <w:noProof/>
              </w:rPr>
              <w:t>态能耗指标</w:t>
            </w:r>
            <w:r>
              <w:rPr>
                <w:noProof/>
                <w:webHidden/>
              </w:rPr>
              <w:tab/>
            </w:r>
            <w:r>
              <w:rPr>
                <w:noProof/>
                <w:webHidden/>
              </w:rPr>
              <w:fldChar w:fldCharType="begin"/>
            </w:r>
            <w:r>
              <w:rPr>
                <w:noProof/>
                <w:webHidden/>
              </w:rPr>
              <w:instrText xml:space="preserve"> PAGEREF _Toc64983958 \h </w:instrText>
            </w:r>
            <w:r>
              <w:rPr>
                <w:noProof/>
                <w:webHidden/>
              </w:rPr>
            </w:r>
            <w:r>
              <w:rPr>
                <w:noProof/>
                <w:webHidden/>
              </w:rPr>
              <w:fldChar w:fldCharType="separate"/>
            </w:r>
            <w:r>
              <w:rPr>
                <w:noProof/>
                <w:webHidden/>
              </w:rPr>
              <w:t>10</w:t>
            </w:r>
            <w:r>
              <w:rPr>
                <w:noProof/>
                <w:webHidden/>
              </w:rPr>
              <w:fldChar w:fldCharType="end"/>
            </w:r>
          </w:hyperlink>
        </w:p>
        <w:p w14:paraId="6E49B245" w14:textId="32C54C9F" w:rsidR="008E63BB" w:rsidRDefault="008E63BB">
          <w:pPr>
            <w:ind w:firstLine="482"/>
          </w:pPr>
          <w:r>
            <w:rPr>
              <w:b/>
              <w:bCs/>
              <w:lang w:val="zh-CN"/>
            </w:rPr>
            <w:fldChar w:fldCharType="end"/>
          </w:r>
        </w:p>
      </w:sdtContent>
    </w:sdt>
    <w:p w14:paraId="393DC204" w14:textId="77777777" w:rsidR="00940FEB" w:rsidRDefault="00940FEB">
      <w:pPr>
        <w:pStyle w:val="TOC10"/>
        <w:ind w:firstLine="420"/>
        <w:jc w:val="center"/>
        <w:rPr>
          <w:rFonts w:asciiTheme="majorEastAsia" w:eastAsia="宋体" w:hAnsiTheme="majorEastAsia" w:cs="Times New Roman"/>
          <w:color w:val="auto"/>
          <w:sz w:val="24"/>
          <w:szCs w:val="24"/>
          <w:lang w:val="zh-CN"/>
        </w:rPr>
        <w:sectPr w:rsidR="00940FEB" w:rsidSect="006B3314">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pgNumType w:start="1"/>
          <w:cols w:space="708"/>
          <w:docGrid w:linePitch="360"/>
        </w:sectPr>
      </w:pPr>
    </w:p>
    <w:p w14:paraId="6BE16B7A" w14:textId="46E8B899" w:rsidR="00132147" w:rsidRDefault="00C07B70" w:rsidP="00C07B70">
      <w:pPr>
        <w:pStyle w:val="2"/>
        <w:numPr>
          <w:ilvl w:val="0"/>
          <w:numId w:val="0"/>
        </w:numPr>
        <w:ind w:left="425"/>
        <w:jc w:val="center"/>
      </w:pPr>
      <w:bookmarkStart w:id="0" w:name="_Toc59727143"/>
      <w:bookmarkStart w:id="1" w:name="_Toc64983948"/>
      <w:r>
        <w:rPr>
          <w:rFonts w:hint="eastAsia"/>
        </w:rPr>
        <w:lastRenderedPageBreak/>
        <w:t>1</w:t>
      </w:r>
      <w:r>
        <w:t xml:space="preserve">  </w:t>
      </w:r>
      <w:r w:rsidR="00132147">
        <w:rPr>
          <w:rFonts w:hint="eastAsia"/>
        </w:rPr>
        <w:t>总则</w:t>
      </w:r>
      <w:bookmarkEnd w:id="0"/>
      <w:bookmarkEnd w:id="1"/>
    </w:p>
    <w:p w14:paraId="41E519D0" w14:textId="260C3649" w:rsidR="00B0561C" w:rsidRDefault="00F0281C" w:rsidP="00F0281C">
      <w:pPr>
        <w:ind w:firstLine="480"/>
        <w:rPr>
          <w:b/>
        </w:rPr>
      </w:pPr>
      <w:bookmarkStart w:id="2" w:name="_Toc59727144"/>
      <w:r>
        <w:rPr>
          <w:rFonts w:hint="eastAsia"/>
        </w:rPr>
        <w:t>1.0.1</w:t>
      </w:r>
      <w:r w:rsidR="00C07B70">
        <w:t xml:space="preserve">   </w:t>
      </w:r>
      <w:r w:rsidRPr="003276CD">
        <w:rPr>
          <w:rFonts w:hint="eastAsia"/>
        </w:rPr>
        <w:t>为贯彻国家有关应对气候变化和节能减排的有关法律法规和方针政策，控制</w:t>
      </w:r>
      <w:r>
        <w:rPr>
          <w:rFonts w:hint="eastAsia"/>
        </w:rPr>
        <w:t>商业综合体</w:t>
      </w:r>
      <w:r w:rsidRPr="003276CD">
        <w:rPr>
          <w:rFonts w:hint="eastAsia"/>
        </w:rPr>
        <w:t>能耗总量、减少</w:t>
      </w:r>
      <w:r w:rsidRPr="00C04E1F">
        <w:t>能源消耗和</w:t>
      </w:r>
      <w:r w:rsidRPr="003276CD">
        <w:rPr>
          <w:rFonts w:hint="eastAsia"/>
        </w:rPr>
        <w:t>碳排放，规范商业综合体运行能耗管理，推动</w:t>
      </w:r>
      <w:r>
        <w:rPr>
          <w:rFonts w:hint="eastAsia"/>
        </w:rPr>
        <w:t>商业综合体</w:t>
      </w:r>
      <w:r w:rsidRPr="003276CD">
        <w:rPr>
          <w:rFonts w:hint="eastAsia"/>
        </w:rPr>
        <w:t>能效提升，制定本指南。</w:t>
      </w:r>
      <w:bookmarkEnd w:id="2"/>
    </w:p>
    <w:p w14:paraId="0D1C0906" w14:textId="23E1A27C" w:rsidR="0022243B" w:rsidRPr="003276CD" w:rsidRDefault="00F0281C" w:rsidP="00F0281C">
      <w:pPr>
        <w:ind w:firstLine="480"/>
        <w:rPr>
          <w:b/>
        </w:rPr>
      </w:pPr>
      <w:bookmarkStart w:id="3" w:name="_Toc59727145"/>
      <w:r>
        <w:rPr>
          <w:rFonts w:hint="eastAsia"/>
        </w:rPr>
        <w:t>1.0.2</w:t>
      </w:r>
      <w:r w:rsidR="00C07B70">
        <w:t xml:space="preserve">  </w:t>
      </w:r>
      <w:r w:rsidR="0022243B" w:rsidRPr="003276CD">
        <w:rPr>
          <w:rFonts w:hint="eastAsia"/>
        </w:rPr>
        <w:t>本指南适用于</w:t>
      </w:r>
      <w:r w:rsidR="003276CD" w:rsidRPr="003276CD">
        <w:rPr>
          <w:rFonts w:hint="eastAsia"/>
        </w:rPr>
        <w:t>杭州市</w:t>
      </w:r>
      <w:r w:rsidR="0022243B" w:rsidRPr="003276CD">
        <w:rPr>
          <w:rFonts w:hint="eastAsia"/>
        </w:rPr>
        <w:t>商业综合</w:t>
      </w:r>
      <w:r w:rsidR="00362298" w:rsidRPr="003276CD">
        <w:rPr>
          <w:rFonts w:hint="eastAsia"/>
        </w:rPr>
        <w:t>体运行能耗的统计、计算和</w:t>
      </w:r>
      <w:r w:rsidR="008D653D" w:rsidRPr="003276CD">
        <w:rPr>
          <w:rFonts w:hint="eastAsia"/>
        </w:rPr>
        <w:t>用能</w:t>
      </w:r>
      <w:r w:rsidR="00362298" w:rsidRPr="003276CD">
        <w:rPr>
          <w:rFonts w:hint="eastAsia"/>
        </w:rPr>
        <w:t>管理。</w:t>
      </w:r>
      <w:bookmarkEnd w:id="3"/>
    </w:p>
    <w:p w14:paraId="0792D119" w14:textId="674F9ADC" w:rsidR="0022243B" w:rsidRDefault="00F0281C" w:rsidP="00F0281C">
      <w:pPr>
        <w:ind w:firstLine="480"/>
      </w:pPr>
      <w:bookmarkStart w:id="4" w:name="_Toc59727146"/>
      <w:r>
        <w:rPr>
          <w:rFonts w:hint="eastAsia"/>
        </w:rPr>
        <w:t>1.0</w:t>
      </w:r>
      <w:r>
        <w:t>.</w:t>
      </w:r>
      <w:r>
        <w:rPr>
          <w:rFonts w:hint="eastAsia"/>
        </w:rPr>
        <w:t>3</w:t>
      </w:r>
      <w:r w:rsidR="00C07B70">
        <w:t xml:space="preserve">   </w:t>
      </w:r>
      <w:r w:rsidR="008D653D" w:rsidRPr="003276CD">
        <w:rPr>
          <w:rFonts w:hint="eastAsia"/>
        </w:rPr>
        <w:t>杭州市商业综合体</w:t>
      </w:r>
      <w:r w:rsidR="003276CD" w:rsidRPr="003276CD">
        <w:rPr>
          <w:rFonts w:hint="eastAsia"/>
        </w:rPr>
        <w:t>的统计、计算和用能管理</w:t>
      </w:r>
      <w:r w:rsidR="008D653D" w:rsidRPr="003276CD">
        <w:rPr>
          <w:rFonts w:hint="eastAsia"/>
        </w:rPr>
        <w:t>，除应符合本指南规定外，尚应符合国家和地方现行有关标准的规定</w:t>
      </w:r>
      <w:r w:rsidR="0022243B" w:rsidRPr="003276CD">
        <w:rPr>
          <w:rFonts w:hint="eastAsia"/>
        </w:rPr>
        <w:t>。</w:t>
      </w:r>
      <w:bookmarkEnd w:id="4"/>
    </w:p>
    <w:p w14:paraId="1230D916" w14:textId="77777777" w:rsidR="00D54F3C" w:rsidRPr="003276CD" w:rsidRDefault="00D54F3C" w:rsidP="00F0281C">
      <w:pPr>
        <w:ind w:firstLine="482"/>
        <w:rPr>
          <w:b/>
        </w:rPr>
      </w:pPr>
    </w:p>
    <w:p w14:paraId="266C5C1D" w14:textId="40B49C01" w:rsidR="00995003" w:rsidRDefault="00C07B70" w:rsidP="00C07B70">
      <w:pPr>
        <w:pStyle w:val="2"/>
        <w:numPr>
          <w:ilvl w:val="0"/>
          <w:numId w:val="0"/>
        </w:numPr>
        <w:ind w:left="425"/>
        <w:jc w:val="center"/>
      </w:pPr>
      <w:bookmarkStart w:id="5" w:name="_Toc59727147"/>
      <w:bookmarkStart w:id="6" w:name="_Toc64983949"/>
      <w:r>
        <w:rPr>
          <w:rFonts w:hint="eastAsia"/>
        </w:rPr>
        <w:t>2</w:t>
      </w:r>
      <w:r>
        <w:t xml:space="preserve">  </w:t>
      </w:r>
      <w:r w:rsidR="0022243B">
        <w:rPr>
          <w:rFonts w:hint="eastAsia"/>
        </w:rPr>
        <w:t>术语</w:t>
      </w:r>
      <w:bookmarkEnd w:id="5"/>
      <w:bookmarkEnd w:id="6"/>
    </w:p>
    <w:p w14:paraId="26168892" w14:textId="263BF61F" w:rsidR="00995003" w:rsidRPr="003276CD" w:rsidRDefault="00F0281C" w:rsidP="00F0281C">
      <w:pPr>
        <w:ind w:firstLine="480"/>
        <w:rPr>
          <w:b/>
        </w:rPr>
      </w:pPr>
      <w:r>
        <w:rPr>
          <w:rFonts w:hint="eastAsia"/>
        </w:rPr>
        <w:t>2.0</w:t>
      </w:r>
      <w:r>
        <w:t>.</w:t>
      </w:r>
      <w:r>
        <w:rPr>
          <w:rFonts w:hint="eastAsia"/>
        </w:rPr>
        <w:t>1</w:t>
      </w:r>
      <w:r w:rsidR="00C07B70">
        <w:t xml:space="preserve">  </w:t>
      </w:r>
      <w:r w:rsidR="00995003" w:rsidRPr="003276CD">
        <w:rPr>
          <w:rFonts w:hint="eastAsia"/>
        </w:rPr>
        <w:t>商业综合体</w:t>
      </w:r>
    </w:p>
    <w:p w14:paraId="4982202E" w14:textId="34559D9A" w:rsidR="002179EC" w:rsidRPr="003276CD" w:rsidRDefault="004D4531" w:rsidP="00F0281C">
      <w:pPr>
        <w:ind w:firstLine="480"/>
        <w:rPr>
          <w:b/>
        </w:rPr>
      </w:pPr>
      <w:r>
        <w:rPr>
          <w:rFonts w:hint="eastAsia"/>
        </w:rPr>
        <w:t>指</w:t>
      </w:r>
      <w:r w:rsidR="00477B29" w:rsidRPr="003276CD">
        <w:rPr>
          <w:rFonts w:hint="eastAsia"/>
        </w:rPr>
        <w:t>城市综合体中的商业部分，</w:t>
      </w:r>
      <w:r w:rsidR="00995003" w:rsidRPr="003276CD">
        <w:rPr>
          <w:rFonts w:hint="eastAsia"/>
        </w:rPr>
        <w:t>由</w:t>
      </w:r>
      <w:r w:rsidR="00EF25B8" w:rsidRPr="003276CD">
        <w:rPr>
          <w:rFonts w:hint="eastAsia"/>
        </w:rPr>
        <w:t>商铺</w:t>
      </w:r>
      <w:r w:rsidR="00995003" w:rsidRPr="003276CD">
        <w:rPr>
          <w:rFonts w:hint="eastAsia"/>
        </w:rPr>
        <w:t>、</w:t>
      </w:r>
      <w:r w:rsidR="00EF25B8" w:rsidRPr="003276CD">
        <w:rPr>
          <w:rFonts w:hint="eastAsia"/>
        </w:rPr>
        <w:t>超市、</w:t>
      </w:r>
      <w:r w:rsidR="00995003" w:rsidRPr="003276CD">
        <w:rPr>
          <w:rFonts w:hint="eastAsia"/>
        </w:rPr>
        <w:t>餐饮、</w:t>
      </w:r>
      <w:r w:rsidR="00EF25B8" w:rsidRPr="003276CD">
        <w:rPr>
          <w:rFonts w:hint="eastAsia"/>
        </w:rPr>
        <w:t>娱乐</w:t>
      </w:r>
      <w:r w:rsidR="00906CA7" w:rsidRPr="003276CD">
        <w:rPr>
          <w:rFonts w:hint="eastAsia"/>
        </w:rPr>
        <w:t>、公共区域、地下停车库</w:t>
      </w:r>
      <w:r>
        <w:rPr>
          <w:rFonts w:hint="eastAsia"/>
        </w:rPr>
        <w:t>业态</w:t>
      </w:r>
      <w:r w:rsidR="00995003" w:rsidRPr="003276CD">
        <w:rPr>
          <w:rFonts w:hint="eastAsia"/>
        </w:rPr>
        <w:t>中的</w:t>
      </w:r>
      <w:r w:rsidR="004F4437" w:rsidRPr="003276CD">
        <w:rPr>
          <w:rFonts w:hint="eastAsia"/>
        </w:rPr>
        <w:t>三</w:t>
      </w:r>
      <w:r w:rsidR="00995003" w:rsidRPr="003276CD">
        <w:rPr>
          <w:rFonts w:hint="eastAsia"/>
        </w:rPr>
        <w:t>项及以上</w:t>
      </w:r>
      <w:r w:rsidR="00B371FE">
        <w:rPr>
          <w:rFonts w:hint="eastAsia"/>
        </w:rPr>
        <w:t>组合</w:t>
      </w:r>
      <w:r>
        <w:rPr>
          <w:rFonts w:hint="eastAsia"/>
        </w:rPr>
        <w:t>，</w:t>
      </w:r>
      <w:r w:rsidR="00995003" w:rsidRPr="003276CD">
        <w:rPr>
          <w:rFonts w:hint="eastAsia"/>
        </w:rPr>
        <w:t>与城市空间</w:t>
      </w:r>
      <w:r w:rsidR="0034207F" w:rsidRPr="003276CD">
        <w:rPr>
          <w:rFonts w:hint="eastAsia"/>
        </w:rPr>
        <w:t>和</w:t>
      </w:r>
      <w:r>
        <w:rPr>
          <w:rFonts w:hint="eastAsia"/>
        </w:rPr>
        <w:t>其他</w:t>
      </w:r>
      <w:r w:rsidR="00995003" w:rsidRPr="003276CD">
        <w:rPr>
          <w:rFonts w:hint="eastAsia"/>
        </w:rPr>
        <w:t>业态有机协同的</w:t>
      </w:r>
      <w:r w:rsidR="006B4D88">
        <w:rPr>
          <w:rFonts w:hint="eastAsia"/>
        </w:rPr>
        <w:t>建筑</w:t>
      </w:r>
      <w:r w:rsidR="00995003" w:rsidRPr="003276CD">
        <w:rPr>
          <w:rFonts w:hint="eastAsia"/>
        </w:rPr>
        <w:t>群体。</w:t>
      </w:r>
    </w:p>
    <w:p w14:paraId="09BA2879" w14:textId="241BF20B" w:rsidR="008A27E1" w:rsidRPr="008A27E1" w:rsidRDefault="00F0281C" w:rsidP="00F0281C">
      <w:pPr>
        <w:ind w:firstLine="480"/>
        <w:rPr>
          <w:b/>
        </w:rPr>
      </w:pPr>
      <w:r>
        <w:rPr>
          <w:rFonts w:hint="eastAsia"/>
        </w:rPr>
        <w:t>2.0</w:t>
      </w:r>
      <w:r>
        <w:t>.</w:t>
      </w:r>
      <w:r>
        <w:rPr>
          <w:rFonts w:hint="eastAsia"/>
        </w:rPr>
        <w:t>2</w:t>
      </w:r>
      <w:r w:rsidR="00C07B70">
        <w:t xml:space="preserve">  </w:t>
      </w:r>
      <w:r w:rsidR="008A27E1" w:rsidRPr="003276CD">
        <w:rPr>
          <w:rFonts w:hint="eastAsia"/>
        </w:rPr>
        <w:t>商业综合体</w:t>
      </w:r>
      <w:r w:rsidR="008A27E1" w:rsidRPr="008A27E1">
        <w:rPr>
          <w:rFonts w:hint="eastAsia"/>
        </w:rPr>
        <w:t>能耗</w:t>
      </w:r>
    </w:p>
    <w:p w14:paraId="45AF6AB2" w14:textId="77777777" w:rsidR="008A27E1" w:rsidRDefault="008A27E1" w:rsidP="00F0281C">
      <w:pPr>
        <w:ind w:firstLine="480"/>
      </w:pPr>
      <w:r w:rsidRPr="008A27E1">
        <w:rPr>
          <w:rFonts w:ascii="Cambria" w:hAnsi="Cambria" w:hint="eastAsia"/>
          <w:bCs/>
          <w:kern w:val="2"/>
        </w:rPr>
        <w:t>商业综合体使</w:t>
      </w:r>
      <w:r>
        <w:rPr>
          <w:rFonts w:hint="eastAsia"/>
        </w:rPr>
        <w:t>用过程中由外部输入的</w:t>
      </w:r>
      <w:r w:rsidR="005376A9">
        <w:rPr>
          <w:rFonts w:hint="eastAsia"/>
        </w:rPr>
        <w:t>满足自身功能需要的</w:t>
      </w:r>
      <w:r>
        <w:rPr>
          <w:rFonts w:hint="eastAsia"/>
        </w:rPr>
        <w:t>能源，包括维持</w:t>
      </w:r>
      <w:r w:rsidR="005376A9">
        <w:rPr>
          <w:rFonts w:hint="eastAsia"/>
        </w:rPr>
        <w:t>商业综合体</w:t>
      </w:r>
      <w:r>
        <w:rPr>
          <w:rFonts w:hint="eastAsia"/>
        </w:rPr>
        <w:t>环境的用能（如供暖、制冷、通风、空调和照明等）和维持</w:t>
      </w:r>
      <w:r w:rsidR="005376A9">
        <w:rPr>
          <w:rFonts w:hint="eastAsia"/>
        </w:rPr>
        <w:t>商业综合体</w:t>
      </w:r>
      <w:r>
        <w:rPr>
          <w:rFonts w:hint="eastAsia"/>
        </w:rPr>
        <w:t>内</w:t>
      </w:r>
      <w:r w:rsidR="00987299">
        <w:rPr>
          <w:rFonts w:hint="eastAsia"/>
        </w:rPr>
        <w:t>商业</w:t>
      </w:r>
      <w:r>
        <w:rPr>
          <w:rFonts w:hint="eastAsia"/>
        </w:rPr>
        <w:t>活动的用能（</w:t>
      </w:r>
      <w:r w:rsidR="00987299">
        <w:rPr>
          <w:rFonts w:hint="eastAsia"/>
        </w:rPr>
        <w:t>如办公、电梯、生活热水、公共食堂等</w:t>
      </w:r>
      <w:r>
        <w:rPr>
          <w:rFonts w:hint="eastAsia"/>
        </w:rPr>
        <w:t>）。</w:t>
      </w:r>
    </w:p>
    <w:p w14:paraId="31D93ACF" w14:textId="1A0C6BCC" w:rsidR="00D8160C" w:rsidRPr="00987299" w:rsidRDefault="00F0281C" w:rsidP="00F0281C">
      <w:pPr>
        <w:ind w:firstLine="480"/>
        <w:rPr>
          <w:b/>
        </w:rPr>
      </w:pPr>
      <w:r>
        <w:rPr>
          <w:rFonts w:hint="eastAsia"/>
        </w:rPr>
        <w:t>2</w:t>
      </w:r>
      <w:r>
        <w:t>.0.3</w:t>
      </w:r>
      <w:r w:rsidR="00C07B70">
        <w:t xml:space="preserve">  </w:t>
      </w:r>
      <w:r w:rsidR="0054116C" w:rsidRPr="00987299">
        <w:rPr>
          <w:rFonts w:hint="eastAsia"/>
        </w:rPr>
        <w:t>商业综合体</w:t>
      </w:r>
      <w:r w:rsidR="0004651F">
        <w:rPr>
          <w:rFonts w:hint="eastAsia"/>
        </w:rPr>
        <w:t>综合</w:t>
      </w:r>
      <w:r w:rsidR="00D8160C" w:rsidRPr="00987299">
        <w:rPr>
          <w:rFonts w:hint="eastAsia"/>
        </w:rPr>
        <w:t>能耗指标</w:t>
      </w:r>
      <w:r w:rsidR="00D8160C" w:rsidRPr="00987299">
        <w:rPr>
          <w:rFonts w:hint="eastAsia"/>
        </w:rPr>
        <w:t xml:space="preserve"> </w:t>
      </w:r>
    </w:p>
    <w:p w14:paraId="75B1E75F" w14:textId="4B78FC92" w:rsidR="002D524B" w:rsidRPr="00BA53D8" w:rsidRDefault="00D8160C" w:rsidP="00F0281C">
      <w:pPr>
        <w:ind w:firstLine="480"/>
        <w:rPr>
          <w:rFonts w:ascii="宋体" w:hAnsi="宋体" w:cs="宋体"/>
          <w:b/>
          <w:bCs/>
          <w:sz w:val="22"/>
        </w:rPr>
      </w:pPr>
      <w:r w:rsidRPr="00D8160C">
        <w:rPr>
          <w:rFonts w:hint="eastAsia"/>
          <w:shd w:val="clear" w:color="auto" w:fill="FFFFFF"/>
        </w:rPr>
        <w:t>根据</w:t>
      </w:r>
      <w:r w:rsidR="002D524B" w:rsidRPr="0054116C">
        <w:rPr>
          <w:rFonts w:hint="eastAsia"/>
        </w:rPr>
        <w:t>商业综合体内</w:t>
      </w:r>
      <w:r w:rsidR="002D524B">
        <w:rPr>
          <w:rFonts w:hint="eastAsia"/>
          <w:shd w:val="clear" w:color="auto" w:fill="FFFFFF"/>
        </w:rPr>
        <w:t>各业态能耗指标</w:t>
      </w:r>
      <w:r w:rsidRPr="00D8160C">
        <w:rPr>
          <w:rFonts w:hint="eastAsia"/>
          <w:shd w:val="clear" w:color="auto" w:fill="FFFFFF"/>
        </w:rPr>
        <w:t>，按照规范化的方法得到的归一化的</w:t>
      </w:r>
      <w:r w:rsidR="0004651F">
        <w:rPr>
          <w:rFonts w:hint="eastAsia"/>
          <w:shd w:val="clear" w:color="auto" w:fill="FFFFFF"/>
        </w:rPr>
        <w:t>商业综合体</w:t>
      </w:r>
      <w:r w:rsidRPr="00995003">
        <w:rPr>
          <w:rFonts w:hint="eastAsia"/>
          <w:shd w:val="clear" w:color="auto" w:fill="FFFFFF"/>
        </w:rPr>
        <w:t>单位面积</w:t>
      </w:r>
      <w:r w:rsidR="002D524B">
        <w:rPr>
          <w:rFonts w:hint="eastAsia"/>
          <w:shd w:val="clear" w:color="auto" w:fill="FFFFFF"/>
        </w:rPr>
        <w:t>年标准电消耗量</w:t>
      </w:r>
      <w:r w:rsidR="002D524B" w:rsidRPr="00995003">
        <w:rPr>
          <w:rFonts w:hint="eastAsia"/>
          <w:shd w:val="clear" w:color="auto" w:fill="FFFFFF"/>
        </w:rPr>
        <w:t>。</w:t>
      </w:r>
      <w:r w:rsidR="00BA53D8">
        <w:rPr>
          <w:rFonts w:hint="eastAsia"/>
        </w:rPr>
        <w:t>[</w:t>
      </w:r>
      <w:r w:rsidR="00BA53D8" w:rsidRPr="0021550C">
        <w:t>kWh /(m</w:t>
      </w:r>
      <w:r w:rsidR="00BA53D8" w:rsidRPr="00BA53D8">
        <w:rPr>
          <w:vertAlign w:val="superscript"/>
        </w:rPr>
        <w:t>2</w:t>
      </w:r>
      <w:r w:rsidR="00BA53D8" w:rsidRPr="0021550C">
        <w:t>·a)</w:t>
      </w:r>
      <w:r w:rsidR="00BA53D8">
        <w:t>]</w:t>
      </w:r>
    </w:p>
    <w:p w14:paraId="45060EFD" w14:textId="59964323" w:rsidR="0004651F" w:rsidRPr="002D524B" w:rsidRDefault="00F0281C" w:rsidP="00F0281C">
      <w:pPr>
        <w:ind w:firstLine="480"/>
        <w:rPr>
          <w:b/>
        </w:rPr>
      </w:pPr>
      <w:r>
        <w:rPr>
          <w:rFonts w:hint="eastAsia"/>
        </w:rPr>
        <w:t>2</w:t>
      </w:r>
      <w:r>
        <w:t>.0.4</w:t>
      </w:r>
      <w:r w:rsidR="00C07B70">
        <w:t xml:space="preserve">  </w:t>
      </w:r>
      <w:r w:rsidR="0004651F" w:rsidRPr="002D524B">
        <w:rPr>
          <w:rFonts w:hint="eastAsia"/>
        </w:rPr>
        <w:t>商业综合体业态能耗指标</w:t>
      </w:r>
    </w:p>
    <w:p w14:paraId="1479D3E8" w14:textId="7B763625" w:rsidR="0004651F" w:rsidRDefault="0004651F" w:rsidP="00F0281C">
      <w:pPr>
        <w:ind w:firstLine="480"/>
        <w:rPr>
          <w:rFonts w:ascii="宋体" w:hAnsi="宋体" w:cs="宋体"/>
          <w:sz w:val="22"/>
        </w:rPr>
      </w:pPr>
      <w:r w:rsidRPr="0054116C">
        <w:rPr>
          <w:rFonts w:hint="eastAsia"/>
        </w:rPr>
        <w:t>商业综合体内</w:t>
      </w:r>
      <w:r>
        <w:rPr>
          <w:rFonts w:hint="eastAsia"/>
          <w:shd w:val="clear" w:color="auto" w:fill="FFFFFF"/>
        </w:rPr>
        <w:t>商铺、超市、餐饮、娱乐、公共区域、停车库各业态</w:t>
      </w:r>
      <w:r w:rsidR="001F3DDD">
        <w:rPr>
          <w:rFonts w:hint="eastAsia"/>
          <w:shd w:val="clear" w:color="auto" w:fill="FFFFFF"/>
        </w:rPr>
        <w:t>所消耗的各类能耗按规定的计算方法和单位分别折算后</w:t>
      </w:r>
      <w:r>
        <w:rPr>
          <w:rFonts w:hint="eastAsia"/>
          <w:shd w:val="clear" w:color="auto" w:fill="FFFFFF"/>
        </w:rPr>
        <w:t>的</w:t>
      </w:r>
      <w:r w:rsidRPr="00995003">
        <w:rPr>
          <w:rFonts w:hint="eastAsia"/>
          <w:shd w:val="clear" w:color="auto" w:fill="FFFFFF"/>
        </w:rPr>
        <w:t>单位面积</w:t>
      </w:r>
      <w:r>
        <w:rPr>
          <w:rFonts w:hint="eastAsia"/>
          <w:shd w:val="clear" w:color="auto" w:fill="FFFFFF"/>
        </w:rPr>
        <w:t>消耗量</w:t>
      </w:r>
      <w:r w:rsidRPr="00995003">
        <w:rPr>
          <w:rFonts w:hint="eastAsia"/>
          <w:shd w:val="clear" w:color="auto" w:fill="FFFFFF"/>
        </w:rPr>
        <w:t>。</w:t>
      </w:r>
      <w:r w:rsidR="00BA53D8">
        <w:rPr>
          <w:rFonts w:hint="eastAsia"/>
        </w:rPr>
        <w:t>[</w:t>
      </w:r>
      <w:r w:rsidR="00BA53D8" w:rsidRPr="0021550C">
        <w:t>kWh /(m</w:t>
      </w:r>
      <w:r w:rsidR="00BA53D8" w:rsidRPr="00BA53D8">
        <w:rPr>
          <w:vertAlign w:val="superscript"/>
        </w:rPr>
        <w:t>2</w:t>
      </w:r>
      <w:r w:rsidR="00BA53D8" w:rsidRPr="0021550C">
        <w:t>·a)</w:t>
      </w:r>
      <w:r w:rsidR="00BA53D8">
        <w:t>]</w:t>
      </w:r>
    </w:p>
    <w:p w14:paraId="20C33683" w14:textId="6659EDDD" w:rsidR="00D8160C" w:rsidRPr="002D524B" w:rsidRDefault="00F0281C" w:rsidP="00F0281C">
      <w:pPr>
        <w:ind w:firstLine="480"/>
        <w:rPr>
          <w:b/>
        </w:rPr>
      </w:pPr>
      <w:r>
        <w:rPr>
          <w:rFonts w:hint="eastAsia"/>
        </w:rPr>
        <w:t>2</w:t>
      </w:r>
      <w:r>
        <w:t>.0.5</w:t>
      </w:r>
      <w:r w:rsidR="00C07B70">
        <w:t xml:space="preserve">  </w:t>
      </w:r>
      <w:r w:rsidR="00D8160C" w:rsidRPr="002D524B">
        <w:rPr>
          <w:rFonts w:hint="eastAsia"/>
        </w:rPr>
        <w:t>能耗指标约束值</w:t>
      </w:r>
    </w:p>
    <w:p w14:paraId="7C0F0126" w14:textId="77777777" w:rsidR="00D8160C" w:rsidRDefault="00D8160C" w:rsidP="00F0281C">
      <w:pPr>
        <w:ind w:firstLine="480"/>
        <w:rPr>
          <w:shd w:val="clear" w:color="auto" w:fill="FFFFFF"/>
        </w:rPr>
      </w:pPr>
      <w:r w:rsidRPr="00D8160C">
        <w:rPr>
          <w:rFonts w:hint="eastAsia"/>
          <w:shd w:val="clear" w:color="auto" w:fill="FFFFFF"/>
        </w:rPr>
        <w:t>为实现</w:t>
      </w:r>
      <w:r w:rsidR="005376A9" w:rsidRPr="0054116C">
        <w:rPr>
          <w:rFonts w:hint="eastAsia"/>
        </w:rPr>
        <w:t>商业综合体内</w:t>
      </w:r>
      <w:r w:rsidRPr="00D8160C">
        <w:rPr>
          <w:rFonts w:hint="eastAsia"/>
          <w:shd w:val="clear" w:color="auto" w:fill="FFFFFF"/>
        </w:rPr>
        <w:t>使用功能所允许消耗的能耗指标上限值。</w:t>
      </w:r>
    </w:p>
    <w:p w14:paraId="66AC0C88" w14:textId="6572D8E4" w:rsidR="00D8160C" w:rsidRPr="005376A9" w:rsidRDefault="00F0281C" w:rsidP="00F0281C">
      <w:pPr>
        <w:ind w:firstLine="480"/>
        <w:rPr>
          <w:b/>
        </w:rPr>
      </w:pPr>
      <w:r>
        <w:rPr>
          <w:rFonts w:hint="eastAsia"/>
        </w:rPr>
        <w:lastRenderedPageBreak/>
        <w:t>2</w:t>
      </w:r>
      <w:r>
        <w:t>.0.6</w:t>
      </w:r>
      <w:r w:rsidR="00C07B70">
        <w:t xml:space="preserve">  </w:t>
      </w:r>
      <w:r w:rsidR="00D8160C" w:rsidRPr="005376A9">
        <w:rPr>
          <w:rFonts w:hint="eastAsia"/>
        </w:rPr>
        <w:t>能耗指标引导值</w:t>
      </w:r>
    </w:p>
    <w:p w14:paraId="7169B5D0" w14:textId="77777777" w:rsidR="00995003" w:rsidRDefault="00D8160C" w:rsidP="00F0281C">
      <w:pPr>
        <w:ind w:firstLine="480"/>
        <w:rPr>
          <w:shd w:val="clear" w:color="auto" w:fill="FFFFFF"/>
        </w:rPr>
      </w:pPr>
      <w:r w:rsidRPr="00D8160C">
        <w:rPr>
          <w:rFonts w:hint="eastAsia"/>
          <w:shd w:val="clear" w:color="auto" w:fill="FFFFFF"/>
        </w:rPr>
        <w:t>在实现</w:t>
      </w:r>
      <w:r w:rsidR="005376A9">
        <w:rPr>
          <w:rFonts w:hint="eastAsia"/>
          <w:shd w:val="clear" w:color="auto" w:fill="FFFFFF"/>
        </w:rPr>
        <w:t>商业综合体</w:t>
      </w:r>
      <w:r w:rsidRPr="00D8160C">
        <w:rPr>
          <w:rFonts w:hint="eastAsia"/>
          <w:shd w:val="clear" w:color="auto" w:fill="FFFFFF"/>
        </w:rPr>
        <w:t>使用功能的前提下，综合高效利用节能技术和管理措施，实现更高节能效果的</w:t>
      </w:r>
      <w:r w:rsidR="005376A9">
        <w:rPr>
          <w:rFonts w:hint="eastAsia"/>
          <w:shd w:val="clear" w:color="auto" w:fill="FFFFFF"/>
        </w:rPr>
        <w:t>商业综合体</w:t>
      </w:r>
      <w:r w:rsidRPr="00D8160C">
        <w:rPr>
          <w:rFonts w:hint="eastAsia"/>
          <w:shd w:val="clear" w:color="auto" w:fill="FFFFFF"/>
        </w:rPr>
        <w:t>能耗指标期望目标值。</w:t>
      </w:r>
    </w:p>
    <w:p w14:paraId="7F70E8CA" w14:textId="13F13EAF" w:rsidR="007F2264" w:rsidRPr="005376A9" w:rsidRDefault="00F0281C" w:rsidP="00F0281C">
      <w:pPr>
        <w:ind w:firstLine="480"/>
        <w:rPr>
          <w:b/>
        </w:rPr>
      </w:pPr>
      <w:r>
        <w:rPr>
          <w:rFonts w:hint="eastAsia"/>
        </w:rPr>
        <w:t>2</w:t>
      </w:r>
      <w:r>
        <w:t>.0.7</w:t>
      </w:r>
      <w:r w:rsidR="00C07B70">
        <w:t xml:space="preserve">  </w:t>
      </w:r>
      <w:r w:rsidR="00A06E53">
        <w:rPr>
          <w:rFonts w:hint="eastAsia"/>
        </w:rPr>
        <w:t>特定功能</w:t>
      </w:r>
      <w:r w:rsidR="007F2264" w:rsidRPr="005376A9">
        <w:rPr>
          <w:rFonts w:hint="eastAsia"/>
        </w:rPr>
        <w:t>能耗</w:t>
      </w:r>
    </w:p>
    <w:p w14:paraId="299F93E1" w14:textId="37C09D29" w:rsidR="008C3F84" w:rsidRPr="008C3F84" w:rsidRDefault="005376A9" w:rsidP="00F0281C">
      <w:pPr>
        <w:ind w:firstLine="480"/>
        <w:rPr>
          <w:rFonts w:ascii="Cambria" w:hAnsi="Cambria"/>
          <w:bCs/>
          <w:kern w:val="2"/>
        </w:rPr>
      </w:pPr>
      <w:r w:rsidRPr="008A27E1">
        <w:rPr>
          <w:rFonts w:ascii="Cambria" w:hAnsi="Cambria" w:hint="eastAsia"/>
          <w:bCs/>
          <w:kern w:val="2"/>
        </w:rPr>
        <w:t>商业综合体使</w:t>
      </w:r>
      <w:r>
        <w:rPr>
          <w:rFonts w:hint="eastAsia"/>
        </w:rPr>
        <w:t>用过程中由外部输入的非自身功能需要</w:t>
      </w:r>
      <w:r w:rsidR="0044077D">
        <w:rPr>
          <w:rFonts w:hint="eastAsia"/>
        </w:rPr>
        <w:t>的能源，</w:t>
      </w:r>
      <w:r w:rsidR="004F416B">
        <w:rPr>
          <w:rFonts w:hint="eastAsia"/>
        </w:rPr>
        <w:t>包括</w:t>
      </w:r>
      <w:r w:rsidR="007E0100" w:rsidRPr="008C3F84">
        <w:rPr>
          <w:rFonts w:ascii="Cambria" w:hAnsi="Cambria" w:hint="eastAsia"/>
          <w:bCs/>
          <w:kern w:val="2"/>
        </w:rPr>
        <w:t>市政展示用</w:t>
      </w:r>
      <w:r w:rsidR="007E0100" w:rsidRPr="008C3F84">
        <w:rPr>
          <w:rFonts w:ascii="Cambria" w:hAnsi="Cambria" w:hint="eastAsia"/>
          <w:bCs/>
          <w:kern w:val="2"/>
        </w:rPr>
        <w:t>LED</w:t>
      </w:r>
      <w:r w:rsidR="007E0100" w:rsidRPr="008C3F84">
        <w:rPr>
          <w:rFonts w:ascii="Cambria" w:hAnsi="Cambria" w:hint="eastAsia"/>
          <w:bCs/>
          <w:kern w:val="2"/>
        </w:rPr>
        <w:t>大屏</w:t>
      </w:r>
      <w:r w:rsidR="004F416B" w:rsidRPr="008C3F84">
        <w:rPr>
          <w:rFonts w:ascii="Cambria" w:hAnsi="Cambria" w:hint="eastAsia"/>
          <w:bCs/>
          <w:kern w:val="2"/>
        </w:rPr>
        <w:t>和</w:t>
      </w:r>
      <w:r w:rsidR="007E0100" w:rsidRPr="008C3F84">
        <w:rPr>
          <w:rFonts w:ascii="Cambria" w:hAnsi="Cambria" w:hint="eastAsia"/>
          <w:bCs/>
          <w:kern w:val="2"/>
        </w:rPr>
        <w:t>公共</w:t>
      </w:r>
      <w:r w:rsidR="004F416B" w:rsidRPr="008C3F84">
        <w:rPr>
          <w:rFonts w:ascii="Cambria" w:hAnsi="Cambria" w:hint="eastAsia"/>
          <w:bCs/>
          <w:kern w:val="2"/>
        </w:rPr>
        <w:t>充电桩</w:t>
      </w:r>
      <w:r w:rsidR="0044077D" w:rsidRPr="008C3F84">
        <w:rPr>
          <w:rFonts w:ascii="Cambria" w:hAnsi="Cambria" w:hint="eastAsia"/>
          <w:bCs/>
          <w:kern w:val="2"/>
        </w:rPr>
        <w:t>用能等</w:t>
      </w:r>
      <w:r w:rsidR="004F416B" w:rsidRPr="008C3F84">
        <w:rPr>
          <w:rFonts w:ascii="Cambria" w:hAnsi="Cambria" w:hint="eastAsia"/>
          <w:bCs/>
          <w:kern w:val="2"/>
        </w:rPr>
        <w:t>。</w:t>
      </w:r>
    </w:p>
    <w:p w14:paraId="69F8FA60" w14:textId="47D23CE5" w:rsidR="008C3F84" w:rsidRPr="008C3F84" w:rsidRDefault="00F0281C" w:rsidP="00F0281C">
      <w:pPr>
        <w:ind w:firstLine="480"/>
        <w:rPr>
          <w:b/>
        </w:rPr>
      </w:pPr>
      <w:r>
        <w:rPr>
          <w:rFonts w:hint="eastAsia"/>
        </w:rPr>
        <w:t>2</w:t>
      </w:r>
      <w:r>
        <w:t>.0.8</w:t>
      </w:r>
      <w:r w:rsidR="00C07B70">
        <w:t xml:space="preserve">  </w:t>
      </w:r>
      <w:r w:rsidR="008C3F84" w:rsidRPr="008C3F84">
        <w:rPr>
          <w:rFonts w:hint="eastAsia"/>
        </w:rPr>
        <w:t>商业综合体</w:t>
      </w:r>
      <w:r w:rsidR="008C3F84">
        <w:rPr>
          <w:rFonts w:hint="eastAsia"/>
        </w:rPr>
        <w:t>用能单位</w:t>
      </w:r>
    </w:p>
    <w:p w14:paraId="0FAA1456" w14:textId="77777777" w:rsidR="008C3F84" w:rsidRPr="000C30E4" w:rsidRDefault="000C30E4" w:rsidP="00F0281C">
      <w:pPr>
        <w:ind w:firstLine="480"/>
        <w:rPr>
          <w:rFonts w:ascii="Cambria" w:hAnsi="Cambria"/>
          <w:bCs/>
          <w:kern w:val="2"/>
        </w:rPr>
      </w:pPr>
      <w:r w:rsidRPr="000C30E4">
        <w:rPr>
          <w:rFonts w:ascii="Cambria" w:hAnsi="Cambria" w:hint="eastAsia"/>
          <w:bCs/>
          <w:kern w:val="2"/>
        </w:rPr>
        <w:t>对商业综合体用能承担主体责任的单位，按各商业综合体实际管理模式不同，可以是商业综合体</w:t>
      </w:r>
      <w:r w:rsidR="00C04E1F" w:rsidRPr="000C30E4">
        <w:rPr>
          <w:rFonts w:ascii="Cambria" w:hAnsi="Cambria"/>
          <w:bCs/>
          <w:kern w:val="2"/>
        </w:rPr>
        <w:t>所有权人、使用权人或者其物业管理单位</w:t>
      </w:r>
      <w:r w:rsidR="008C3F84" w:rsidRPr="000C30E4">
        <w:rPr>
          <w:rFonts w:ascii="Cambria" w:hAnsi="Cambria" w:hint="eastAsia"/>
          <w:bCs/>
          <w:kern w:val="2"/>
        </w:rPr>
        <w:t>。</w:t>
      </w:r>
    </w:p>
    <w:p w14:paraId="7122BA30" w14:textId="77777777" w:rsidR="00D54F3C" w:rsidRPr="008C3F84" w:rsidRDefault="00D54F3C" w:rsidP="008C3F84">
      <w:pPr>
        <w:ind w:firstLine="482"/>
        <w:rPr>
          <w:b/>
          <w:szCs w:val="24"/>
        </w:rPr>
      </w:pPr>
    </w:p>
    <w:p w14:paraId="0B613B5C" w14:textId="3CE2EF6D" w:rsidR="00060D98" w:rsidRDefault="00C07B70" w:rsidP="00C07B70">
      <w:pPr>
        <w:pStyle w:val="2"/>
        <w:numPr>
          <w:ilvl w:val="0"/>
          <w:numId w:val="0"/>
        </w:numPr>
        <w:ind w:left="425"/>
        <w:jc w:val="center"/>
      </w:pPr>
      <w:bookmarkStart w:id="7" w:name="_Toc59727149"/>
      <w:bookmarkStart w:id="8" w:name="_Toc64983950"/>
      <w:r>
        <w:rPr>
          <w:rFonts w:hint="eastAsia"/>
        </w:rPr>
        <w:t>3</w:t>
      </w:r>
      <w:r>
        <w:t xml:space="preserve">  </w:t>
      </w:r>
      <w:r w:rsidR="00694777">
        <w:rPr>
          <w:rFonts w:hint="eastAsia"/>
        </w:rPr>
        <w:t>能耗</w:t>
      </w:r>
      <w:r w:rsidR="00060D98">
        <w:rPr>
          <w:rFonts w:hint="eastAsia"/>
        </w:rPr>
        <w:t>指标</w:t>
      </w:r>
      <w:bookmarkEnd w:id="7"/>
      <w:bookmarkEnd w:id="8"/>
    </w:p>
    <w:p w14:paraId="6907F493" w14:textId="508C5162" w:rsidR="00B371FE" w:rsidRPr="00B371FE" w:rsidRDefault="00B371FE" w:rsidP="00B371FE">
      <w:pPr>
        <w:ind w:firstLine="480"/>
      </w:pPr>
      <w:r>
        <w:rPr>
          <w:rFonts w:hint="eastAsia"/>
        </w:rPr>
        <w:t>3.0.1</w:t>
      </w:r>
      <w:r>
        <w:rPr>
          <w:rFonts w:hint="eastAsia"/>
        </w:rPr>
        <w:t>商业综合体能耗管理的建筑类型应为</w:t>
      </w:r>
      <w:r w:rsidRPr="003276CD">
        <w:rPr>
          <w:rFonts w:hint="eastAsia"/>
        </w:rPr>
        <w:t>商业</w:t>
      </w:r>
      <w:r>
        <w:rPr>
          <w:rFonts w:hint="eastAsia"/>
        </w:rPr>
        <w:t>部分建筑</w:t>
      </w:r>
      <w:r w:rsidRPr="003276CD">
        <w:rPr>
          <w:rFonts w:hint="eastAsia"/>
        </w:rPr>
        <w:t>面积大于</w:t>
      </w:r>
      <w:r w:rsidRPr="003276CD">
        <w:rPr>
          <w:rFonts w:hint="eastAsia"/>
        </w:rPr>
        <w:t>2</w:t>
      </w:r>
      <w:r w:rsidRPr="003276CD">
        <w:rPr>
          <w:rFonts w:hint="eastAsia"/>
        </w:rPr>
        <w:t>万</w:t>
      </w:r>
      <w:r w:rsidR="00032226">
        <w:rPr>
          <w:rFonts w:hint="eastAsia"/>
        </w:rPr>
        <w:t>m</w:t>
      </w:r>
      <w:r w:rsidR="00032226" w:rsidRPr="00032226">
        <w:rPr>
          <w:rFonts w:hint="eastAsia"/>
          <w:vertAlign w:val="superscript"/>
        </w:rPr>
        <w:t>2</w:t>
      </w:r>
      <w:r w:rsidRPr="003276CD">
        <w:rPr>
          <w:rFonts w:hint="eastAsia"/>
        </w:rPr>
        <w:t>（不含酒店和办公等</w:t>
      </w:r>
      <w:r>
        <w:rPr>
          <w:rFonts w:hint="eastAsia"/>
        </w:rPr>
        <w:t>其他</w:t>
      </w:r>
      <w:r w:rsidRPr="003276CD">
        <w:rPr>
          <w:rFonts w:hint="eastAsia"/>
        </w:rPr>
        <w:t>业态）</w:t>
      </w:r>
      <w:r>
        <w:rPr>
          <w:rFonts w:hint="eastAsia"/>
        </w:rPr>
        <w:t>、</w:t>
      </w:r>
      <w:r w:rsidRPr="003276CD">
        <w:rPr>
          <w:rFonts w:hint="eastAsia"/>
        </w:rPr>
        <w:t>采用中央空调或多联机空调系统</w:t>
      </w:r>
      <w:r>
        <w:rPr>
          <w:rFonts w:hint="eastAsia"/>
        </w:rPr>
        <w:t>、</w:t>
      </w:r>
      <w:r w:rsidRPr="003276CD">
        <w:rPr>
          <w:rFonts w:hint="eastAsia"/>
        </w:rPr>
        <w:t>外窗</w:t>
      </w:r>
      <w:r w:rsidR="000060C7">
        <w:rPr>
          <w:rFonts w:hint="eastAsia"/>
        </w:rPr>
        <w:t>基本</w:t>
      </w:r>
      <w:r w:rsidRPr="003276CD">
        <w:rPr>
          <w:rFonts w:hint="eastAsia"/>
        </w:rPr>
        <w:t>不可开启。</w:t>
      </w:r>
    </w:p>
    <w:p w14:paraId="2C2EFC62" w14:textId="6109437E" w:rsidR="00E330EA" w:rsidRPr="00A7533D" w:rsidRDefault="00F0281C" w:rsidP="00F0281C">
      <w:pPr>
        <w:ind w:firstLine="480"/>
        <w:rPr>
          <w:b/>
        </w:rPr>
      </w:pPr>
      <w:r>
        <w:rPr>
          <w:rFonts w:hint="eastAsia"/>
        </w:rPr>
        <w:t>3</w:t>
      </w:r>
      <w:r>
        <w:t>.0.</w:t>
      </w:r>
      <w:r w:rsidR="00B371FE">
        <w:rPr>
          <w:rFonts w:hint="eastAsia"/>
        </w:rPr>
        <w:t>2</w:t>
      </w:r>
      <w:r w:rsidR="00C07B70">
        <w:t xml:space="preserve"> </w:t>
      </w:r>
      <w:r w:rsidR="00E330EA" w:rsidRPr="00A7533D">
        <w:rPr>
          <w:rFonts w:hint="eastAsia"/>
        </w:rPr>
        <w:t>商业综合体的能耗值或其根据实际使用强度的修正值应小于</w:t>
      </w:r>
      <w:r w:rsidR="00E330EA">
        <w:rPr>
          <w:rFonts w:hint="eastAsia"/>
        </w:rPr>
        <w:t>该</w:t>
      </w:r>
      <w:r w:rsidR="00E330EA" w:rsidRPr="00A7533D">
        <w:rPr>
          <w:rFonts w:hint="eastAsia"/>
        </w:rPr>
        <w:t>商业综合体能耗指标约束值</w:t>
      </w:r>
      <w:r w:rsidR="00E330EA">
        <w:rPr>
          <w:rFonts w:hint="eastAsia"/>
        </w:rPr>
        <w:t>，并</w:t>
      </w:r>
      <w:r w:rsidR="00E330EA" w:rsidRPr="00A7533D">
        <w:rPr>
          <w:rFonts w:hint="eastAsia"/>
        </w:rPr>
        <w:t>宜小于</w:t>
      </w:r>
      <w:r w:rsidR="00E330EA">
        <w:rPr>
          <w:rFonts w:hint="eastAsia"/>
        </w:rPr>
        <w:t>该</w:t>
      </w:r>
      <w:r w:rsidR="00E330EA" w:rsidRPr="00A7533D">
        <w:rPr>
          <w:rFonts w:hint="eastAsia"/>
        </w:rPr>
        <w:t>商业综合体能耗指标引导值。</w:t>
      </w:r>
    </w:p>
    <w:p w14:paraId="21950BC7" w14:textId="0E65CFE2" w:rsidR="008A44E4" w:rsidRPr="00B371FE" w:rsidRDefault="00F0281C" w:rsidP="00F0281C">
      <w:pPr>
        <w:ind w:firstLine="480"/>
        <w:rPr>
          <w:b/>
        </w:rPr>
      </w:pPr>
      <w:r>
        <w:t>3.0.</w:t>
      </w:r>
      <w:r w:rsidR="00B371FE">
        <w:rPr>
          <w:rFonts w:hint="eastAsia"/>
        </w:rPr>
        <w:t>3</w:t>
      </w:r>
      <w:r w:rsidR="00C07B70">
        <w:t xml:space="preserve">  </w:t>
      </w:r>
      <w:r w:rsidR="008A44E4" w:rsidRPr="006D6552">
        <w:rPr>
          <w:rFonts w:hint="eastAsia"/>
        </w:rPr>
        <w:t>商业综合体各业态能耗指标的约束值和引导值应符合表</w:t>
      </w:r>
      <w:r>
        <w:t>3</w:t>
      </w:r>
      <w:r w:rsidRPr="00091D55">
        <w:rPr>
          <w:rFonts w:hint="eastAsia"/>
        </w:rPr>
        <w:t>.0</w:t>
      </w:r>
      <w:r>
        <w:t>.</w:t>
      </w:r>
      <w:r w:rsidR="00B371FE">
        <w:rPr>
          <w:rFonts w:hint="eastAsia"/>
        </w:rPr>
        <w:t>3</w:t>
      </w:r>
      <w:r w:rsidR="008A44E4" w:rsidRPr="006D6552">
        <w:rPr>
          <w:rFonts w:hint="eastAsia"/>
        </w:rPr>
        <w:t>的规定。</w:t>
      </w:r>
      <w:r w:rsidR="00B371FE">
        <w:rPr>
          <w:rFonts w:hint="eastAsia"/>
        </w:rPr>
        <w:t>综合能耗</w:t>
      </w:r>
      <w:r w:rsidR="00B371FE" w:rsidRPr="006D6552">
        <w:rPr>
          <w:rFonts w:hint="eastAsia"/>
        </w:rPr>
        <w:t>指标的约束值和引导值</w:t>
      </w:r>
      <w:r w:rsidR="00B371FE">
        <w:rPr>
          <w:rFonts w:hint="eastAsia"/>
        </w:rPr>
        <w:t>应按</w:t>
      </w:r>
      <w:r w:rsidR="00B371FE" w:rsidRPr="006D6552">
        <w:rPr>
          <w:rFonts w:hint="eastAsia"/>
        </w:rPr>
        <w:t>表</w:t>
      </w:r>
      <w:r w:rsidR="00B371FE">
        <w:t>3</w:t>
      </w:r>
      <w:r w:rsidR="00B371FE" w:rsidRPr="006D6552">
        <w:rPr>
          <w:rFonts w:hint="eastAsia"/>
        </w:rPr>
        <w:t>.0</w:t>
      </w:r>
      <w:r w:rsidR="00B371FE" w:rsidRPr="006D6552">
        <w:t>.</w:t>
      </w:r>
      <w:r w:rsidR="00B371FE">
        <w:rPr>
          <w:rFonts w:hint="eastAsia"/>
        </w:rPr>
        <w:t>3</w:t>
      </w:r>
      <w:r w:rsidR="00B371FE">
        <w:rPr>
          <w:rFonts w:hint="eastAsia"/>
        </w:rPr>
        <w:t>所</w:t>
      </w:r>
      <w:r w:rsidR="00B371FE" w:rsidRPr="006D6552">
        <w:rPr>
          <w:rFonts w:hint="eastAsia"/>
        </w:rPr>
        <w:t>规定</w:t>
      </w:r>
      <w:r w:rsidR="00B371FE">
        <w:rPr>
          <w:rFonts w:hint="eastAsia"/>
        </w:rPr>
        <w:t>的各业态能耗指标与对应功能业态建筑面积比例进行加权平均计算确定</w:t>
      </w:r>
      <w:r w:rsidR="00B371FE" w:rsidRPr="006D6552">
        <w:rPr>
          <w:rFonts w:hint="eastAsia"/>
        </w:rPr>
        <w:t>。</w:t>
      </w:r>
    </w:p>
    <w:p w14:paraId="6DF19267" w14:textId="5094EE10" w:rsidR="008A44E4" w:rsidRPr="00091D55" w:rsidRDefault="008A44E4" w:rsidP="008A44E4">
      <w:pPr>
        <w:ind w:firstLine="480"/>
        <w:jc w:val="center"/>
      </w:pPr>
      <w:r w:rsidRPr="00091D55">
        <w:rPr>
          <w:rFonts w:hint="eastAsia"/>
        </w:rPr>
        <w:t>表</w:t>
      </w:r>
      <w:r w:rsidR="00F0281C">
        <w:t>3</w:t>
      </w:r>
      <w:r w:rsidRPr="00091D55">
        <w:rPr>
          <w:rFonts w:hint="eastAsia"/>
        </w:rPr>
        <w:t>.0</w:t>
      </w:r>
      <w:r w:rsidR="00F0281C">
        <w:t>.</w:t>
      </w:r>
      <w:r w:rsidR="00B371FE">
        <w:rPr>
          <w:rFonts w:hint="eastAsia"/>
        </w:rPr>
        <w:t>3</w:t>
      </w:r>
      <w:r w:rsidRPr="00091D55">
        <w:rPr>
          <w:rFonts w:hint="eastAsia"/>
        </w:rPr>
        <w:t>商业综合体</w:t>
      </w:r>
      <w:r w:rsidR="0004651F">
        <w:rPr>
          <w:rFonts w:hint="eastAsia"/>
        </w:rPr>
        <w:t>各</w:t>
      </w:r>
      <w:r w:rsidRPr="00091D55">
        <w:rPr>
          <w:rFonts w:hint="eastAsia"/>
        </w:rPr>
        <w:t>业态能耗指标的约束值和引导值</w:t>
      </w:r>
    </w:p>
    <w:tbl>
      <w:tblPr>
        <w:tblStyle w:val="af1"/>
        <w:tblW w:w="5000" w:type="pct"/>
        <w:tblLook w:val="04A0" w:firstRow="1" w:lastRow="0" w:firstColumn="1" w:lastColumn="0" w:noHBand="0" w:noVBand="1"/>
      </w:tblPr>
      <w:tblGrid>
        <w:gridCol w:w="3096"/>
        <w:gridCol w:w="2600"/>
        <w:gridCol w:w="2600"/>
      </w:tblGrid>
      <w:tr w:rsidR="008A44E4" w:rsidRPr="007B1511" w14:paraId="386613B0" w14:textId="77777777" w:rsidTr="008C3F84">
        <w:trPr>
          <w:trHeight w:val="278"/>
        </w:trPr>
        <w:tc>
          <w:tcPr>
            <w:tcW w:w="1839" w:type="pct"/>
            <w:noWrap/>
            <w:vAlign w:val="center"/>
            <w:hideMark/>
          </w:tcPr>
          <w:p w14:paraId="678A73B3" w14:textId="77777777" w:rsidR="008A44E4" w:rsidRPr="007B1511" w:rsidRDefault="008A44E4" w:rsidP="008C3F84">
            <w:pPr>
              <w:ind w:firstLineChars="0" w:firstLine="0"/>
              <w:jc w:val="center"/>
            </w:pPr>
            <w:r w:rsidRPr="007B1511">
              <w:rPr>
                <w:rFonts w:hint="eastAsia"/>
              </w:rPr>
              <w:t>业态</w:t>
            </w:r>
            <w:r>
              <w:rPr>
                <w:rFonts w:hint="eastAsia"/>
              </w:rPr>
              <w:t>分类</w:t>
            </w:r>
          </w:p>
        </w:tc>
        <w:tc>
          <w:tcPr>
            <w:tcW w:w="1580" w:type="pct"/>
            <w:noWrap/>
            <w:vAlign w:val="center"/>
            <w:hideMark/>
          </w:tcPr>
          <w:p w14:paraId="458584A6" w14:textId="75E46DA0" w:rsidR="008A44E4" w:rsidRPr="00AB1469" w:rsidRDefault="008A44E4" w:rsidP="008A44E4">
            <w:pPr>
              <w:ind w:firstLineChars="0" w:firstLine="0"/>
              <w:jc w:val="center"/>
              <w:rPr>
                <w:b/>
                <w:bCs/>
              </w:rPr>
            </w:pPr>
            <w:r w:rsidRPr="007B1511">
              <w:rPr>
                <w:rFonts w:hint="eastAsia"/>
              </w:rPr>
              <w:t>约束值</w:t>
            </w:r>
            <w:r w:rsidR="00FB571A">
              <w:rPr>
                <w:rFonts w:hint="eastAsia"/>
              </w:rPr>
              <w:t>[</w:t>
            </w:r>
            <w:r w:rsidR="00FB571A" w:rsidRPr="0021550C">
              <w:t>kWh /(m</w:t>
            </w:r>
            <w:r w:rsidR="00FB571A" w:rsidRPr="00BA53D8">
              <w:rPr>
                <w:vertAlign w:val="superscript"/>
              </w:rPr>
              <w:t>2</w:t>
            </w:r>
            <w:r w:rsidR="00FB571A" w:rsidRPr="0021550C">
              <w:t>·a)</w:t>
            </w:r>
            <w:r w:rsidR="00FB571A">
              <w:t>]</w:t>
            </w:r>
          </w:p>
        </w:tc>
        <w:tc>
          <w:tcPr>
            <w:tcW w:w="1580" w:type="pct"/>
            <w:noWrap/>
            <w:vAlign w:val="center"/>
            <w:hideMark/>
          </w:tcPr>
          <w:p w14:paraId="2E3EC05A" w14:textId="77777777" w:rsidR="008A44E4" w:rsidRPr="007B1511" w:rsidRDefault="008A44E4" w:rsidP="008C3F84">
            <w:pPr>
              <w:ind w:firstLineChars="0" w:firstLine="0"/>
              <w:jc w:val="center"/>
            </w:pPr>
            <w:r w:rsidRPr="007B1511">
              <w:rPr>
                <w:rFonts w:hint="eastAsia"/>
              </w:rPr>
              <w:t>引导值</w:t>
            </w:r>
            <w:r>
              <w:rPr>
                <w:rFonts w:hint="eastAsia"/>
              </w:rPr>
              <w:t>[</w:t>
            </w:r>
            <w:r w:rsidRPr="0021550C">
              <w:t>kWh /(m</w:t>
            </w:r>
            <w:r w:rsidRPr="00BA53D8">
              <w:rPr>
                <w:vertAlign w:val="superscript"/>
              </w:rPr>
              <w:t>2</w:t>
            </w:r>
            <w:r w:rsidRPr="0021550C">
              <w:t>·a)</w:t>
            </w:r>
            <w:r>
              <w:t>]</w:t>
            </w:r>
          </w:p>
        </w:tc>
      </w:tr>
      <w:tr w:rsidR="008A44E4" w:rsidRPr="007B1511" w14:paraId="307DDB86" w14:textId="77777777" w:rsidTr="008C3F84">
        <w:trPr>
          <w:trHeight w:val="278"/>
        </w:trPr>
        <w:tc>
          <w:tcPr>
            <w:tcW w:w="1839" w:type="pct"/>
            <w:noWrap/>
            <w:vAlign w:val="center"/>
            <w:hideMark/>
          </w:tcPr>
          <w:p w14:paraId="3F0E1C5B" w14:textId="77777777" w:rsidR="008A44E4" w:rsidRPr="007B1511" w:rsidRDefault="008A44E4" w:rsidP="008C3F84">
            <w:pPr>
              <w:ind w:firstLineChars="0" w:firstLine="0"/>
              <w:jc w:val="center"/>
            </w:pPr>
            <w:r w:rsidRPr="007B1511">
              <w:rPr>
                <w:rFonts w:hint="eastAsia"/>
              </w:rPr>
              <w:t>商铺</w:t>
            </w:r>
          </w:p>
        </w:tc>
        <w:tc>
          <w:tcPr>
            <w:tcW w:w="1580" w:type="pct"/>
            <w:noWrap/>
            <w:vAlign w:val="center"/>
            <w:hideMark/>
          </w:tcPr>
          <w:p w14:paraId="1B62AB99" w14:textId="77777777" w:rsidR="008A44E4" w:rsidRPr="007B1511" w:rsidRDefault="008A44E4" w:rsidP="008C3F84">
            <w:pPr>
              <w:ind w:firstLineChars="0" w:firstLine="0"/>
              <w:jc w:val="center"/>
            </w:pPr>
            <w:r w:rsidRPr="007B1511">
              <w:rPr>
                <w:rFonts w:hint="eastAsia"/>
              </w:rPr>
              <w:t>186</w:t>
            </w:r>
          </w:p>
        </w:tc>
        <w:tc>
          <w:tcPr>
            <w:tcW w:w="1580" w:type="pct"/>
            <w:noWrap/>
            <w:vAlign w:val="center"/>
            <w:hideMark/>
          </w:tcPr>
          <w:p w14:paraId="335DCC92" w14:textId="77777777" w:rsidR="008A44E4" w:rsidRPr="007B1511" w:rsidRDefault="008A44E4" w:rsidP="008C3F84">
            <w:pPr>
              <w:ind w:firstLineChars="0" w:firstLine="0"/>
              <w:jc w:val="center"/>
            </w:pPr>
            <w:r w:rsidRPr="007B1511">
              <w:rPr>
                <w:rFonts w:hint="eastAsia"/>
              </w:rPr>
              <w:t>149</w:t>
            </w:r>
          </w:p>
        </w:tc>
      </w:tr>
      <w:tr w:rsidR="008A44E4" w:rsidRPr="007B1511" w14:paraId="58196C44" w14:textId="77777777" w:rsidTr="008C3F84">
        <w:trPr>
          <w:trHeight w:val="278"/>
        </w:trPr>
        <w:tc>
          <w:tcPr>
            <w:tcW w:w="1839" w:type="pct"/>
            <w:noWrap/>
            <w:vAlign w:val="center"/>
            <w:hideMark/>
          </w:tcPr>
          <w:p w14:paraId="675B7F64" w14:textId="77777777" w:rsidR="008A44E4" w:rsidRPr="007B1511" w:rsidRDefault="008A44E4" w:rsidP="008C3F84">
            <w:pPr>
              <w:ind w:firstLineChars="0" w:firstLine="0"/>
              <w:jc w:val="center"/>
            </w:pPr>
            <w:r w:rsidRPr="007B1511">
              <w:rPr>
                <w:rFonts w:hint="eastAsia"/>
              </w:rPr>
              <w:t>超市</w:t>
            </w:r>
          </w:p>
        </w:tc>
        <w:tc>
          <w:tcPr>
            <w:tcW w:w="1580" w:type="pct"/>
            <w:noWrap/>
            <w:vAlign w:val="center"/>
            <w:hideMark/>
          </w:tcPr>
          <w:p w14:paraId="3C3305C1" w14:textId="77777777" w:rsidR="008A44E4" w:rsidRPr="007B1511" w:rsidRDefault="008A44E4" w:rsidP="008C3F84">
            <w:pPr>
              <w:ind w:firstLineChars="0" w:firstLine="0"/>
              <w:jc w:val="center"/>
            </w:pPr>
            <w:r w:rsidRPr="007B1511">
              <w:rPr>
                <w:rFonts w:hint="eastAsia"/>
              </w:rPr>
              <w:t>161</w:t>
            </w:r>
          </w:p>
        </w:tc>
        <w:tc>
          <w:tcPr>
            <w:tcW w:w="1580" w:type="pct"/>
            <w:noWrap/>
            <w:vAlign w:val="center"/>
            <w:hideMark/>
          </w:tcPr>
          <w:p w14:paraId="0C70A292" w14:textId="77777777" w:rsidR="008A44E4" w:rsidRPr="007B1511" w:rsidRDefault="008A44E4" w:rsidP="008C3F84">
            <w:pPr>
              <w:ind w:firstLineChars="0" w:firstLine="0"/>
              <w:jc w:val="center"/>
            </w:pPr>
            <w:r w:rsidRPr="007B1511">
              <w:rPr>
                <w:rFonts w:hint="eastAsia"/>
              </w:rPr>
              <w:t>148</w:t>
            </w:r>
          </w:p>
        </w:tc>
      </w:tr>
      <w:tr w:rsidR="008A44E4" w:rsidRPr="007B1511" w14:paraId="74356764" w14:textId="77777777" w:rsidTr="008C3F84">
        <w:trPr>
          <w:trHeight w:val="278"/>
        </w:trPr>
        <w:tc>
          <w:tcPr>
            <w:tcW w:w="1839" w:type="pct"/>
            <w:noWrap/>
            <w:vAlign w:val="center"/>
            <w:hideMark/>
          </w:tcPr>
          <w:p w14:paraId="625B5381" w14:textId="77777777" w:rsidR="008A44E4" w:rsidRPr="007B1511" w:rsidRDefault="008A44E4" w:rsidP="008C3F84">
            <w:pPr>
              <w:ind w:firstLineChars="0" w:firstLine="0"/>
              <w:jc w:val="center"/>
            </w:pPr>
            <w:r w:rsidRPr="007B1511">
              <w:rPr>
                <w:rFonts w:hint="eastAsia"/>
              </w:rPr>
              <w:t>餐饮</w:t>
            </w:r>
          </w:p>
        </w:tc>
        <w:tc>
          <w:tcPr>
            <w:tcW w:w="1580" w:type="pct"/>
            <w:noWrap/>
            <w:vAlign w:val="center"/>
            <w:hideMark/>
          </w:tcPr>
          <w:p w14:paraId="649F5DCB" w14:textId="77777777" w:rsidR="008A44E4" w:rsidRPr="007B1511" w:rsidRDefault="008A44E4" w:rsidP="008C3F84">
            <w:pPr>
              <w:ind w:firstLineChars="0" w:firstLine="0"/>
              <w:jc w:val="center"/>
            </w:pPr>
            <w:r w:rsidRPr="007B1511">
              <w:rPr>
                <w:rFonts w:hint="eastAsia"/>
              </w:rPr>
              <w:t>600</w:t>
            </w:r>
          </w:p>
        </w:tc>
        <w:tc>
          <w:tcPr>
            <w:tcW w:w="1580" w:type="pct"/>
            <w:noWrap/>
            <w:vAlign w:val="center"/>
            <w:hideMark/>
          </w:tcPr>
          <w:p w14:paraId="50DE1E18" w14:textId="77777777" w:rsidR="008A44E4" w:rsidRPr="007B1511" w:rsidRDefault="008A44E4" w:rsidP="008C3F84">
            <w:pPr>
              <w:ind w:firstLineChars="0" w:firstLine="0"/>
              <w:jc w:val="center"/>
            </w:pPr>
            <w:r>
              <w:rPr>
                <w:rFonts w:hint="eastAsia"/>
              </w:rPr>
              <w:t>500</w:t>
            </w:r>
          </w:p>
        </w:tc>
      </w:tr>
      <w:tr w:rsidR="008A44E4" w:rsidRPr="007B1511" w14:paraId="5849B781" w14:textId="77777777" w:rsidTr="008C3F84">
        <w:trPr>
          <w:trHeight w:val="278"/>
        </w:trPr>
        <w:tc>
          <w:tcPr>
            <w:tcW w:w="1839" w:type="pct"/>
            <w:noWrap/>
            <w:vAlign w:val="center"/>
            <w:hideMark/>
          </w:tcPr>
          <w:p w14:paraId="3FCC5E04" w14:textId="77777777" w:rsidR="008A44E4" w:rsidRPr="007B1511" w:rsidRDefault="008A44E4" w:rsidP="008C3F84">
            <w:pPr>
              <w:ind w:firstLineChars="0" w:firstLine="0"/>
              <w:jc w:val="center"/>
            </w:pPr>
            <w:r w:rsidRPr="007B1511">
              <w:rPr>
                <w:rFonts w:hint="eastAsia"/>
              </w:rPr>
              <w:t>娱乐</w:t>
            </w:r>
          </w:p>
        </w:tc>
        <w:tc>
          <w:tcPr>
            <w:tcW w:w="1580" w:type="pct"/>
            <w:noWrap/>
            <w:vAlign w:val="center"/>
            <w:hideMark/>
          </w:tcPr>
          <w:p w14:paraId="1E3F8E81" w14:textId="77777777" w:rsidR="008A44E4" w:rsidRPr="007B1511" w:rsidRDefault="008A44E4" w:rsidP="008C3F84">
            <w:pPr>
              <w:ind w:firstLineChars="0" w:firstLine="0"/>
              <w:jc w:val="center"/>
            </w:pPr>
            <w:r w:rsidRPr="007B1511">
              <w:rPr>
                <w:rFonts w:hint="eastAsia"/>
              </w:rPr>
              <w:t>13</w:t>
            </w:r>
            <w:r>
              <w:rPr>
                <w:rFonts w:hint="eastAsia"/>
              </w:rPr>
              <w:t>9</w:t>
            </w:r>
          </w:p>
        </w:tc>
        <w:tc>
          <w:tcPr>
            <w:tcW w:w="1580" w:type="pct"/>
            <w:noWrap/>
            <w:vAlign w:val="center"/>
            <w:hideMark/>
          </w:tcPr>
          <w:p w14:paraId="074AB68B" w14:textId="77777777" w:rsidR="008A44E4" w:rsidRPr="007B1511" w:rsidRDefault="008A44E4" w:rsidP="008C3F84">
            <w:pPr>
              <w:ind w:firstLineChars="0" w:firstLine="0"/>
              <w:jc w:val="center"/>
            </w:pPr>
            <w:r w:rsidRPr="007B1511">
              <w:rPr>
                <w:rFonts w:hint="eastAsia"/>
              </w:rPr>
              <w:t>10</w:t>
            </w:r>
            <w:r>
              <w:rPr>
                <w:rFonts w:hint="eastAsia"/>
              </w:rPr>
              <w:t>4</w:t>
            </w:r>
          </w:p>
        </w:tc>
      </w:tr>
      <w:tr w:rsidR="008A44E4" w:rsidRPr="007B1511" w14:paraId="78E0DA53" w14:textId="77777777" w:rsidTr="008C3F84">
        <w:trPr>
          <w:trHeight w:val="278"/>
        </w:trPr>
        <w:tc>
          <w:tcPr>
            <w:tcW w:w="1839" w:type="pct"/>
            <w:noWrap/>
            <w:vAlign w:val="center"/>
            <w:hideMark/>
          </w:tcPr>
          <w:p w14:paraId="1F11B4DE" w14:textId="77777777" w:rsidR="008A44E4" w:rsidRPr="007B1511" w:rsidRDefault="008A44E4" w:rsidP="008C3F84">
            <w:pPr>
              <w:ind w:firstLineChars="0" w:firstLine="0"/>
              <w:jc w:val="center"/>
            </w:pPr>
            <w:r w:rsidRPr="007B1511">
              <w:rPr>
                <w:rFonts w:hint="eastAsia"/>
              </w:rPr>
              <w:t>公共区域</w:t>
            </w:r>
          </w:p>
        </w:tc>
        <w:tc>
          <w:tcPr>
            <w:tcW w:w="1580" w:type="pct"/>
            <w:noWrap/>
            <w:vAlign w:val="center"/>
            <w:hideMark/>
          </w:tcPr>
          <w:p w14:paraId="05547CCC" w14:textId="2A90D527" w:rsidR="008A44E4" w:rsidRPr="007B1511" w:rsidRDefault="00213239" w:rsidP="008C3F84">
            <w:pPr>
              <w:ind w:firstLineChars="0" w:firstLine="0"/>
              <w:jc w:val="center"/>
            </w:pPr>
            <w:r>
              <w:t>140</w:t>
            </w:r>
          </w:p>
        </w:tc>
        <w:tc>
          <w:tcPr>
            <w:tcW w:w="1580" w:type="pct"/>
            <w:noWrap/>
            <w:vAlign w:val="center"/>
            <w:hideMark/>
          </w:tcPr>
          <w:p w14:paraId="154450EA" w14:textId="114E151C" w:rsidR="008A44E4" w:rsidRPr="007B1511" w:rsidRDefault="00213239" w:rsidP="008C3F84">
            <w:pPr>
              <w:ind w:firstLineChars="0" w:firstLine="0"/>
              <w:jc w:val="center"/>
            </w:pPr>
            <w:r>
              <w:t>101</w:t>
            </w:r>
          </w:p>
        </w:tc>
      </w:tr>
      <w:tr w:rsidR="008A44E4" w:rsidRPr="007B1511" w14:paraId="58FC1E81" w14:textId="77777777" w:rsidTr="008C3F84">
        <w:trPr>
          <w:trHeight w:val="278"/>
        </w:trPr>
        <w:tc>
          <w:tcPr>
            <w:tcW w:w="1839" w:type="pct"/>
            <w:noWrap/>
            <w:vAlign w:val="center"/>
          </w:tcPr>
          <w:p w14:paraId="6524A0A1" w14:textId="77777777" w:rsidR="00063989" w:rsidRDefault="008A44E4" w:rsidP="00063989">
            <w:pPr>
              <w:ind w:firstLineChars="0" w:firstLine="0"/>
              <w:jc w:val="center"/>
            </w:pPr>
            <w:r>
              <w:rPr>
                <w:rFonts w:hint="eastAsia"/>
              </w:rPr>
              <w:t>地下</w:t>
            </w:r>
            <w:r w:rsidRPr="007B1511">
              <w:rPr>
                <w:rFonts w:hint="eastAsia"/>
              </w:rPr>
              <w:t>停车</w:t>
            </w:r>
            <w:r>
              <w:rPr>
                <w:rFonts w:hint="eastAsia"/>
              </w:rPr>
              <w:t>库</w:t>
            </w:r>
          </w:p>
          <w:p w14:paraId="493331B4" w14:textId="77777777" w:rsidR="008A44E4" w:rsidRPr="007B1511" w:rsidRDefault="00063989" w:rsidP="00063989">
            <w:pPr>
              <w:ind w:firstLineChars="0" w:firstLine="0"/>
              <w:jc w:val="center"/>
            </w:pPr>
            <w:r>
              <w:rPr>
                <w:rFonts w:hint="eastAsia"/>
              </w:rPr>
              <w:t>（含其他地下非空调区域）</w:t>
            </w:r>
          </w:p>
        </w:tc>
        <w:tc>
          <w:tcPr>
            <w:tcW w:w="1580" w:type="pct"/>
            <w:noWrap/>
            <w:vAlign w:val="center"/>
          </w:tcPr>
          <w:p w14:paraId="4C06B1D6" w14:textId="77777777" w:rsidR="008A44E4" w:rsidRPr="007B1511" w:rsidRDefault="008A44E4" w:rsidP="008C3F84">
            <w:pPr>
              <w:ind w:firstLineChars="0" w:firstLine="0"/>
              <w:jc w:val="center"/>
            </w:pPr>
            <w:r>
              <w:rPr>
                <w:rFonts w:hint="eastAsia"/>
              </w:rPr>
              <w:t>6</w:t>
            </w:r>
          </w:p>
        </w:tc>
        <w:tc>
          <w:tcPr>
            <w:tcW w:w="1580" w:type="pct"/>
            <w:noWrap/>
            <w:vAlign w:val="center"/>
          </w:tcPr>
          <w:p w14:paraId="37E14AB7" w14:textId="77777777" w:rsidR="008A44E4" w:rsidRPr="007B1511" w:rsidRDefault="008A44E4" w:rsidP="008C3F84">
            <w:pPr>
              <w:ind w:firstLineChars="0" w:firstLine="0"/>
              <w:jc w:val="center"/>
            </w:pPr>
            <w:r w:rsidRPr="007B1511">
              <w:rPr>
                <w:rFonts w:hint="eastAsia"/>
              </w:rPr>
              <w:t>5</w:t>
            </w:r>
          </w:p>
        </w:tc>
      </w:tr>
    </w:tbl>
    <w:p w14:paraId="1EBA8F95" w14:textId="3D606FD4" w:rsidR="00BC0626" w:rsidRPr="006D6552" w:rsidRDefault="00F0281C" w:rsidP="00F0281C">
      <w:pPr>
        <w:ind w:firstLine="480"/>
        <w:rPr>
          <w:b/>
        </w:rPr>
      </w:pPr>
      <w:bookmarkStart w:id="9" w:name="_Toc59727150"/>
      <w:r>
        <w:lastRenderedPageBreak/>
        <w:t>3.0.4</w:t>
      </w:r>
      <w:r w:rsidR="00C07B70">
        <w:t xml:space="preserve">  </w:t>
      </w:r>
      <w:r w:rsidR="00BC0626" w:rsidRPr="006D6552">
        <w:rPr>
          <w:rFonts w:hint="eastAsia"/>
        </w:rPr>
        <w:t>商业综合体</w:t>
      </w:r>
      <w:r w:rsidR="00BC0626">
        <w:rPr>
          <w:rFonts w:hint="eastAsia"/>
        </w:rPr>
        <w:t>特定功能能耗</w:t>
      </w:r>
      <w:r w:rsidR="00BC0626" w:rsidRPr="006D6552">
        <w:rPr>
          <w:rFonts w:hint="eastAsia"/>
        </w:rPr>
        <w:t>指标的约束值和引导值</w:t>
      </w:r>
      <w:r w:rsidR="00BC0626">
        <w:rPr>
          <w:rFonts w:hint="eastAsia"/>
        </w:rPr>
        <w:t>应</w:t>
      </w:r>
      <w:r w:rsidR="00BC0626" w:rsidRPr="006D6552">
        <w:rPr>
          <w:rFonts w:hint="eastAsia"/>
        </w:rPr>
        <w:t>符合表</w:t>
      </w:r>
      <w:r>
        <w:t>3</w:t>
      </w:r>
      <w:r w:rsidR="00BC0626" w:rsidRPr="006D6552">
        <w:rPr>
          <w:rFonts w:hint="eastAsia"/>
        </w:rPr>
        <w:t>.0</w:t>
      </w:r>
      <w:r w:rsidR="00BC0626" w:rsidRPr="006D6552">
        <w:t>.</w:t>
      </w:r>
      <w:r>
        <w:t>4</w:t>
      </w:r>
      <w:r w:rsidR="00BC0626" w:rsidRPr="006D6552">
        <w:rPr>
          <w:rFonts w:hint="eastAsia"/>
        </w:rPr>
        <w:t>的规定。</w:t>
      </w:r>
    </w:p>
    <w:p w14:paraId="76230AA3" w14:textId="392901FF" w:rsidR="00BC0626" w:rsidRPr="0012258F" w:rsidRDefault="00BC0626" w:rsidP="00BC0626">
      <w:pPr>
        <w:ind w:firstLine="480"/>
        <w:jc w:val="center"/>
      </w:pPr>
      <w:r>
        <w:rPr>
          <w:rFonts w:hint="eastAsia"/>
        </w:rPr>
        <w:t>表</w:t>
      </w:r>
      <w:r w:rsidR="00F0281C">
        <w:t>3</w:t>
      </w:r>
      <w:r w:rsidRPr="00740226">
        <w:rPr>
          <w:rFonts w:hint="eastAsia"/>
        </w:rPr>
        <w:t>.0</w:t>
      </w:r>
      <w:r>
        <w:rPr>
          <w:rFonts w:hint="eastAsia"/>
        </w:rPr>
        <w:t>.</w:t>
      </w:r>
      <w:r w:rsidR="00F0281C">
        <w:t>4</w:t>
      </w:r>
      <w:r w:rsidRPr="006D6552">
        <w:rPr>
          <w:rFonts w:hint="eastAsia"/>
        </w:rPr>
        <w:t>商业综合体</w:t>
      </w:r>
      <w:r>
        <w:rPr>
          <w:rFonts w:hint="eastAsia"/>
        </w:rPr>
        <w:t>特定功能</w:t>
      </w:r>
      <w:r w:rsidRPr="006D6552">
        <w:rPr>
          <w:rFonts w:hint="eastAsia"/>
        </w:rPr>
        <w:t>能耗指标</w:t>
      </w:r>
      <w:r w:rsidRPr="00091D55">
        <w:rPr>
          <w:rFonts w:hint="eastAsia"/>
        </w:rPr>
        <w:t>的约束值和引导值</w:t>
      </w:r>
      <w:r w:rsidR="00C819B7">
        <w:rPr>
          <w:rFonts w:hint="eastAsia"/>
        </w:rPr>
        <w:t>（</w:t>
      </w:r>
      <w:r w:rsidR="00C819B7">
        <w:t>kWh</w:t>
      </w:r>
      <w:r w:rsidR="00C819B7">
        <w:rPr>
          <w:rFonts w:hint="eastAsia"/>
        </w:rPr>
        <w:t>/a</w:t>
      </w:r>
      <w:r w:rsidR="00C819B7">
        <w:rPr>
          <w:rFonts w:hint="eastAsia"/>
        </w:rPr>
        <w:t>）</w:t>
      </w:r>
    </w:p>
    <w:tbl>
      <w:tblPr>
        <w:tblStyle w:val="af1"/>
        <w:tblW w:w="5002" w:type="pct"/>
        <w:tblLook w:val="04A0" w:firstRow="1" w:lastRow="0" w:firstColumn="1" w:lastColumn="0" w:noHBand="0" w:noVBand="1"/>
      </w:tblPr>
      <w:tblGrid>
        <w:gridCol w:w="1899"/>
        <w:gridCol w:w="2491"/>
        <w:gridCol w:w="1834"/>
        <w:gridCol w:w="2075"/>
      </w:tblGrid>
      <w:tr w:rsidR="00BC0626" w14:paraId="219DB87B" w14:textId="77777777" w:rsidTr="00B371FE">
        <w:tc>
          <w:tcPr>
            <w:tcW w:w="1144" w:type="pct"/>
          </w:tcPr>
          <w:p w14:paraId="395C024E" w14:textId="77777777" w:rsidR="00BC0626" w:rsidRDefault="00BC0626" w:rsidP="002D1199">
            <w:pPr>
              <w:ind w:firstLineChars="0" w:firstLine="0"/>
              <w:jc w:val="center"/>
              <w:rPr>
                <w:b/>
                <w:bCs/>
              </w:rPr>
            </w:pPr>
            <w:r>
              <w:rPr>
                <w:rFonts w:hint="eastAsia"/>
              </w:rPr>
              <w:t>项目</w:t>
            </w:r>
          </w:p>
        </w:tc>
        <w:tc>
          <w:tcPr>
            <w:tcW w:w="1501" w:type="pct"/>
          </w:tcPr>
          <w:p w14:paraId="19D1442D" w14:textId="77777777" w:rsidR="00BC0626" w:rsidRDefault="00BC0626" w:rsidP="002D1199">
            <w:pPr>
              <w:ind w:firstLineChars="0" w:firstLine="0"/>
              <w:jc w:val="center"/>
              <w:rPr>
                <w:b/>
                <w:bCs/>
              </w:rPr>
            </w:pPr>
            <w:r>
              <w:rPr>
                <w:rFonts w:hint="eastAsia"/>
              </w:rPr>
              <w:t>计量单位</w:t>
            </w:r>
          </w:p>
        </w:tc>
        <w:tc>
          <w:tcPr>
            <w:tcW w:w="1105" w:type="pct"/>
          </w:tcPr>
          <w:p w14:paraId="0C314406" w14:textId="77777777" w:rsidR="00BC0626" w:rsidRDefault="00BC0626" w:rsidP="002D1199">
            <w:pPr>
              <w:ind w:firstLineChars="0" w:firstLine="0"/>
              <w:jc w:val="center"/>
              <w:rPr>
                <w:b/>
                <w:bCs/>
              </w:rPr>
            </w:pPr>
            <w:r w:rsidRPr="009A38A7">
              <w:rPr>
                <w:rFonts w:asciiTheme="majorEastAsia" w:eastAsiaTheme="majorEastAsia" w:hAnsiTheme="majorEastAsia" w:cs="宋体" w:hint="eastAsia"/>
                <w:szCs w:val="24"/>
              </w:rPr>
              <w:t>约束值</w:t>
            </w:r>
          </w:p>
        </w:tc>
        <w:tc>
          <w:tcPr>
            <w:tcW w:w="1250" w:type="pct"/>
          </w:tcPr>
          <w:p w14:paraId="590B4D34" w14:textId="77777777" w:rsidR="00BC0626" w:rsidRDefault="00BC0626" w:rsidP="002D1199">
            <w:pPr>
              <w:ind w:firstLineChars="0" w:firstLine="0"/>
              <w:jc w:val="center"/>
              <w:rPr>
                <w:b/>
                <w:bCs/>
              </w:rPr>
            </w:pPr>
            <w:r>
              <w:rPr>
                <w:rFonts w:hint="eastAsia"/>
              </w:rPr>
              <w:t>引导值</w:t>
            </w:r>
          </w:p>
        </w:tc>
      </w:tr>
      <w:tr w:rsidR="00BC0626" w14:paraId="77FDB9E2" w14:textId="77777777" w:rsidTr="00B371FE">
        <w:tc>
          <w:tcPr>
            <w:tcW w:w="1144" w:type="pct"/>
          </w:tcPr>
          <w:p w14:paraId="1E76644A" w14:textId="77777777" w:rsidR="00BC0626" w:rsidRDefault="00BC0626" w:rsidP="002D1199">
            <w:pPr>
              <w:ind w:firstLineChars="0" w:firstLine="0"/>
              <w:jc w:val="center"/>
              <w:rPr>
                <w:b/>
                <w:bCs/>
              </w:rPr>
            </w:pPr>
            <w:r>
              <w:rPr>
                <w:rFonts w:hint="eastAsia"/>
              </w:rPr>
              <w:t>L</w:t>
            </w:r>
            <w:r>
              <w:t>ED</w:t>
            </w:r>
            <w:r>
              <w:rPr>
                <w:rFonts w:hint="eastAsia"/>
              </w:rPr>
              <w:t>大屏</w:t>
            </w:r>
          </w:p>
        </w:tc>
        <w:tc>
          <w:tcPr>
            <w:tcW w:w="1501" w:type="pct"/>
          </w:tcPr>
          <w:p w14:paraId="3EF220C2" w14:textId="1F080CB9" w:rsidR="00BC0626" w:rsidRDefault="00BC0626" w:rsidP="002D1199">
            <w:pPr>
              <w:ind w:firstLineChars="0" w:firstLine="0"/>
              <w:jc w:val="center"/>
            </w:pPr>
            <w:r>
              <w:rPr>
                <w:rFonts w:hint="eastAsia"/>
              </w:rPr>
              <w:t>大屏面积</w:t>
            </w:r>
            <w:r w:rsidR="00C819B7">
              <w:rPr>
                <w:rFonts w:hint="eastAsia"/>
              </w:rPr>
              <w:t>m</w:t>
            </w:r>
            <w:r w:rsidR="00C819B7">
              <w:rPr>
                <w:rFonts w:hint="eastAsia"/>
                <w:vertAlign w:val="superscript"/>
              </w:rPr>
              <w:t>2</w:t>
            </w:r>
          </w:p>
        </w:tc>
        <w:tc>
          <w:tcPr>
            <w:tcW w:w="1105" w:type="pct"/>
          </w:tcPr>
          <w:p w14:paraId="69DF7CF4" w14:textId="77777777" w:rsidR="00BC0626" w:rsidRDefault="00BC0626" w:rsidP="002D1199">
            <w:pPr>
              <w:ind w:firstLineChars="0" w:firstLine="0"/>
              <w:jc w:val="center"/>
            </w:pPr>
            <w:r>
              <w:rPr>
                <w:rFonts w:hint="eastAsia"/>
              </w:rPr>
              <w:t>1050</w:t>
            </w:r>
          </w:p>
        </w:tc>
        <w:tc>
          <w:tcPr>
            <w:tcW w:w="1250" w:type="pct"/>
          </w:tcPr>
          <w:p w14:paraId="3DC98B9C" w14:textId="77777777" w:rsidR="00BC0626" w:rsidRDefault="00BC0626" w:rsidP="002D1199">
            <w:pPr>
              <w:ind w:firstLineChars="0" w:firstLine="0"/>
              <w:jc w:val="center"/>
            </w:pPr>
            <w:r>
              <w:rPr>
                <w:rFonts w:hint="eastAsia"/>
              </w:rPr>
              <w:t>800</w:t>
            </w:r>
          </w:p>
        </w:tc>
      </w:tr>
      <w:tr w:rsidR="00BC0626" w14:paraId="0ED845C4" w14:textId="77777777" w:rsidTr="00B371FE">
        <w:tc>
          <w:tcPr>
            <w:tcW w:w="1144" w:type="pct"/>
          </w:tcPr>
          <w:p w14:paraId="5BD1079D" w14:textId="77777777" w:rsidR="00BC0626" w:rsidRDefault="00BC0626" w:rsidP="002D1199">
            <w:pPr>
              <w:ind w:firstLineChars="0" w:firstLine="0"/>
              <w:jc w:val="center"/>
              <w:rPr>
                <w:b/>
                <w:bCs/>
              </w:rPr>
            </w:pPr>
            <w:r>
              <w:rPr>
                <w:rFonts w:hint="eastAsia"/>
              </w:rPr>
              <w:t>充电桩</w:t>
            </w:r>
          </w:p>
        </w:tc>
        <w:tc>
          <w:tcPr>
            <w:tcW w:w="1501" w:type="pct"/>
          </w:tcPr>
          <w:p w14:paraId="7D1DFD41" w14:textId="5C82CA47" w:rsidR="00BC0626" w:rsidRDefault="00BC0626" w:rsidP="002D1199">
            <w:pPr>
              <w:ind w:firstLineChars="0" w:firstLine="0"/>
              <w:jc w:val="center"/>
            </w:pPr>
            <w:r>
              <w:rPr>
                <w:rFonts w:hint="eastAsia"/>
              </w:rPr>
              <w:t>桩</w:t>
            </w:r>
            <w:r w:rsidR="00C819B7">
              <w:rPr>
                <w:rFonts w:ascii="Times New Roman" w:hAnsi="Times New Roman"/>
              </w:rPr>
              <w:t>·</w:t>
            </w:r>
            <w:r w:rsidR="00B371FE">
              <w:rPr>
                <w:rFonts w:hint="eastAsia"/>
              </w:rPr>
              <w:t>使用</w:t>
            </w:r>
            <w:r>
              <w:rPr>
                <w:rFonts w:hint="eastAsia"/>
              </w:rPr>
              <w:t>小时</w:t>
            </w:r>
            <w:r w:rsidR="00B371FE">
              <w:rPr>
                <w:rFonts w:hint="eastAsia"/>
              </w:rPr>
              <w:t>数</w:t>
            </w:r>
          </w:p>
        </w:tc>
        <w:tc>
          <w:tcPr>
            <w:tcW w:w="1105" w:type="pct"/>
          </w:tcPr>
          <w:p w14:paraId="0289A40C" w14:textId="66A4FD07" w:rsidR="00BC0626" w:rsidRDefault="00BC0626" w:rsidP="002D1199">
            <w:pPr>
              <w:ind w:firstLineChars="0" w:firstLine="0"/>
              <w:jc w:val="center"/>
            </w:pPr>
            <w:r>
              <w:rPr>
                <w:rFonts w:hint="eastAsia"/>
              </w:rPr>
              <w:t>60</w:t>
            </w:r>
          </w:p>
        </w:tc>
        <w:tc>
          <w:tcPr>
            <w:tcW w:w="1250" w:type="pct"/>
          </w:tcPr>
          <w:p w14:paraId="75671688" w14:textId="628BDB38" w:rsidR="00BC0626" w:rsidRDefault="00BC0626" w:rsidP="002D1199">
            <w:pPr>
              <w:ind w:firstLineChars="0" w:firstLine="0"/>
              <w:jc w:val="center"/>
            </w:pPr>
            <w:r>
              <w:rPr>
                <w:rFonts w:hint="eastAsia"/>
              </w:rPr>
              <w:t>50</w:t>
            </w:r>
          </w:p>
        </w:tc>
      </w:tr>
    </w:tbl>
    <w:p w14:paraId="19F9190B" w14:textId="027DFB2A" w:rsidR="00BC0626" w:rsidRDefault="00BC0626" w:rsidP="00BC0626">
      <w:pPr>
        <w:ind w:firstLine="480"/>
      </w:pPr>
      <w:r>
        <w:rPr>
          <w:rFonts w:hint="eastAsia"/>
        </w:rPr>
        <w:t>注：</w:t>
      </w:r>
      <w:r w:rsidR="00213239">
        <w:rPr>
          <w:rFonts w:hint="eastAsia"/>
        </w:rPr>
        <w:t>1</w:t>
      </w:r>
      <w:r w:rsidR="00213239">
        <w:rPr>
          <w:rFonts w:hint="eastAsia"/>
        </w:rPr>
        <w:t>、</w:t>
      </w:r>
      <w:r>
        <w:rPr>
          <w:rFonts w:hint="eastAsia"/>
        </w:rPr>
        <w:t>充电桩仅指快速充电桩</w:t>
      </w:r>
      <w:r w:rsidR="00C819B7">
        <w:rPr>
          <w:rFonts w:hint="eastAsia"/>
        </w:rPr>
        <w:t>。</w:t>
      </w:r>
    </w:p>
    <w:p w14:paraId="29C19273" w14:textId="1B75B644" w:rsidR="00213239" w:rsidRPr="00213239" w:rsidRDefault="00213239" w:rsidP="00213239">
      <w:pPr>
        <w:spacing w:line="540" w:lineRule="exact"/>
        <w:ind w:firstLineChars="400" w:firstLine="960"/>
        <w:rPr>
          <w:rFonts w:ascii="宋体" w:hAnsi="宋体"/>
          <w:szCs w:val="24"/>
        </w:rPr>
      </w:pPr>
      <w:r>
        <w:rPr>
          <w:rFonts w:hint="eastAsia"/>
        </w:rPr>
        <w:t>2</w:t>
      </w:r>
      <w:r>
        <w:rPr>
          <w:rFonts w:hint="eastAsia"/>
        </w:rPr>
        <w:t>、</w:t>
      </w:r>
      <w:r w:rsidRPr="00213239">
        <w:rPr>
          <w:rFonts w:ascii="宋体" w:hAnsi="宋体" w:hint="eastAsia"/>
          <w:szCs w:val="24"/>
        </w:rPr>
        <w:t>充电桩的约束值和引导值</w:t>
      </w:r>
      <w:r>
        <w:rPr>
          <w:rFonts w:ascii="宋体" w:hAnsi="宋体" w:hint="eastAsia"/>
          <w:szCs w:val="24"/>
        </w:rPr>
        <w:t>以</w:t>
      </w:r>
      <w:r w:rsidRPr="00213239">
        <w:rPr>
          <w:rFonts w:ascii="宋体" w:hAnsi="宋体" w:hint="eastAsia"/>
          <w:szCs w:val="24"/>
        </w:rPr>
        <w:t>1个桩每小时的用电量限值</w:t>
      </w:r>
      <w:r>
        <w:rPr>
          <w:rFonts w:ascii="宋体" w:hAnsi="宋体" w:hint="eastAsia"/>
          <w:szCs w:val="24"/>
        </w:rPr>
        <w:t>来表征，单个</w:t>
      </w:r>
      <w:r w:rsidR="00E663EC">
        <w:rPr>
          <w:rFonts w:ascii="宋体" w:hAnsi="宋体" w:hint="eastAsia"/>
          <w:szCs w:val="24"/>
        </w:rPr>
        <w:t>桩的</w:t>
      </w:r>
      <w:r>
        <w:rPr>
          <w:rFonts w:ascii="宋体" w:hAnsi="宋体" w:hint="eastAsia"/>
          <w:szCs w:val="24"/>
        </w:rPr>
        <w:t>年能耗</w:t>
      </w:r>
      <w:r w:rsidR="00E663EC">
        <w:rPr>
          <w:rFonts w:ascii="宋体" w:hAnsi="宋体" w:hint="eastAsia"/>
          <w:szCs w:val="24"/>
        </w:rPr>
        <w:t>定义为使用小时数与限值的乘积</w:t>
      </w:r>
      <w:r w:rsidRPr="00213239">
        <w:rPr>
          <w:rFonts w:ascii="宋体" w:hAnsi="宋体" w:hint="eastAsia"/>
          <w:szCs w:val="24"/>
        </w:rPr>
        <w:t>。</w:t>
      </w:r>
    </w:p>
    <w:p w14:paraId="36191FA6" w14:textId="021C1C40" w:rsidR="00213239" w:rsidRPr="00E663EC" w:rsidRDefault="00213239" w:rsidP="00BC0626">
      <w:pPr>
        <w:ind w:firstLine="480"/>
      </w:pPr>
    </w:p>
    <w:p w14:paraId="0072E62F" w14:textId="77777777" w:rsidR="00D54F3C" w:rsidRDefault="00D54F3C" w:rsidP="00BC0626">
      <w:pPr>
        <w:ind w:firstLine="480"/>
      </w:pPr>
    </w:p>
    <w:p w14:paraId="038C4A05" w14:textId="07ACED40" w:rsidR="00BC0626" w:rsidRDefault="00C07B70" w:rsidP="00C07B70">
      <w:pPr>
        <w:pStyle w:val="2"/>
        <w:numPr>
          <w:ilvl w:val="0"/>
          <w:numId w:val="0"/>
        </w:numPr>
        <w:ind w:left="425"/>
        <w:jc w:val="center"/>
      </w:pPr>
      <w:bookmarkStart w:id="10" w:name="_Toc59727151"/>
      <w:bookmarkStart w:id="11" w:name="_Toc64983951"/>
      <w:r>
        <w:rPr>
          <w:rFonts w:hint="eastAsia"/>
        </w:rPr>
        <w:t>4</w:t>
      </w:r>
      <w:r>
        <w:t xml:space="preserve">  </w:t>
      </w:r>
      <w:r w:rsidR="00BC0626">
        <w:rPr>
          <w:rFonts w:hint="eastAsia"/>
        </w:rPr>
        <w:t>能耗统计和计算</w:t>
      </w:r>
      <w:bookmarkEnd w:id="10"/>
      <w:bookmarkEnd w:id="11"/>
    </w:p>
    <w:p w14:paraId="38006135" w14:textId="036BFC7A" w:rsidR="00A85D58" w:rsidRPr="00A31580" w:rsidRDefault="00C07B70" w:rsidP="00C07B70">
      <w:pPr>
        <w:pStyle w:val="2"/>
        <w:numPr>
          <w:ilvl w:val="0"/>
          <w:numId w:val="0"/>
        </w:numPr>
        <w:ind w:left="567"/>
        <w:jc w:val="center"/>
        <w:rPr>
          <w:bCs w:val="0"/>
        </w:rPr>
      </w:pPr>
      <w:bookmarkStart w:id="12" w:name="_Toc64983952"/>
      <w:r w:rsidRPr="00A31580">
        <w:rPr>
          <w:rFonts w:hint="eastAsia"/>
          <w:bCs w:val="0"/>
          <w:sz w:val="24"/>
          <w:szCs w:val="24"/>
        </w:rPr>
        <w:t>4</w:t>
      </w:r>
      <w:r w:rsidRPr="00A31580">
        <w:rPr>
          <w:bCs w:val="0"/>
          <w:sz w:val="24"/>
          <w:szCs w:val="24"/>
        </w:rPr>
        <w:t>.1</w:t>
      </w:r>
      <w:r w:rsidR="00BC2ADC">
        <w:rPr>
          <w:bCs w:val="0"/>
          <w:sz w:val="24"/>
          <w:szCs w:val="24"/>
        </w:rPr>
        <w:t xml:space="preserve">  </w:t>
      </w:r>
      <w:r w:rsidR="00A85D58" w:rsidRPr="00A31580">
        <w:rPr>
          <w:rFonts w:hint="eastAsia"/>
          <w:bCs w:val="0"/>
          <w:sz w:val="24"/>
          <w:szCs w:val="24"/>
        </w:rPr>
        <w:t>建筑面积统计</w:t>
      </w:r>
      <w:bookmarkEnd w:id="12"/>
    </w:p>
    <w:p w14:paraId="019DFB5C" w14:textId="081CF390" w:rsidR="00BC0626" w:rsidRPr="008C3F84" w:rsidRDefault="00CF77CE" w:rsidP="00CF77CE">
      <w:pPr>
        <w:ind w:firstLine="480"/>
        <w:rPr>
          <w:b/>
        </w:rPr>
      </w:pPr>
      <w:r>
        <w:rPr>
          <w:rFonts w:hint="eastAsia"/>
        </w:rPr>
        <w:t>4</w:t>
      </w:r>
      <w:r>
        <w:t>.1.1</w:t>
      </w:r>
      <w:r w:rsidR="00BC2ADC">
        <w:t xml:space="preserve">  </w:t>
      </w:r>
      <w:r w:rsidR="00466055">
        <w:rPr>
          <w:rFonts w:hint="eastAsia"/>
        </w:rPr>
        <w:t>商业综合体和各业态的建筑面积统计应符合</w:t>
      </w:r>
      <w:r w:rsidR="00B371FE">
        <w:rPr>
          <w:rFonts w:hint="eastAsia"/>
        </w:rPr>
        <w:t>下列</w:t>
      </w:r>
      <w:r w:rsidR="00466055">
        <w:rPr>
          <w:rFonts w:hint="eastAsia"/>
        </w:rPr>
        <w:t>规定：</w:t>
      </w:r>
    </w:p>
    <w:p w14:paraId="24C0A861" w14:textId="02E85720" w:rsidR="00A00163" w:rsidRDefault="00CF77CE" w:rsidP="00CF77CE">
      <w:pPr>
        <w:ind w:firstLine="480"/>
        <w:rPr>
          <w:b/>
        </w:rPr>
      </w:pPr>
      <w:r>
        <w:rPr>
          <w:rFonts w:hint="eastAsia"/>
        </w:rPr>
        <w:t>1</w:t>
      </w:r>
      <w:r w:rsidR="00BC2ADC">
        <w:t xml:space="preserve">  </w:t>
      </w:r>
      <w:r w:rsidR="00A00163">
        <w:rPr>
          <w:rFonts w:hint="eastAsia"/>
        </w:rPr>
        <w:t>总</w:t>
      </w:r>
      <w:r w:rsidR="00A00163" w:rsidRPr="008C3F84">
        <w:rPr>
          <w:rFonts w:hint="eastAsia"/>
        </w:rPr>
        <w:t>面积、</w:t>
      </w:r>
      <w:r w:rsidR="00A00163">
        <w:rPr>
          <w:rFonts w:hint="eastAsia"/>
        </w:rPr>
        <w:t>地上面积、</w:t>
      </w:r>
      <w:r w:rsidR="00A00163" w:rsidRPr="008C3F84">
        <w:rPr>
          <w:rFonts w:hint="eastAsia"/>
        </w:rPr>
        <w:t>地下面积</w:t>
      </w:r>
      <w:r w:rsidR="00A00163">
        <w:rPr>
          <w:rFonts w:hint="eastAsia"/>
        </w:rPr>
        <w:t>、</w:t>
      </w:r>
      <w:r w:rsidR="00A00163" w:rsidRPr="008C3F84">
        <w:rPr>
          <w:rFonts w:hint="eastAsia"/>
        </w:rPr>
        <w:t>地下车库面积</w:t>
      </w:r>
      <w:r w:rsidR="00A00163">
        <w:rPr>
          <w:rFonts w:hint="eastAsia"/>
        </w:rPr>
        <w:t>、地下商业面积、地上车库面积、各业态面积应</w:t>
      </w:r>
      <w:r w:rsidR="00A00163" w:rsidRPr="008C3F84">
        <w:rPr>
          <w:rFonts w:hint="eastAsia"/>
        </w:rPr>
        <w:t>分别统计</w:t>
      </w:r>
      <w:r w:rsidR="00A00163">
        <w:rPr>
          <w:rFonts w:hint="eastAsia"/>
        </w:rPr>
        <w:t>。</w:t>
      </w:r>
    </w:p>
    <w:p w14:paraId="0E084E4F" w14:textId="41E794E3" w:rsidR="007608EC" w:rsidRDefault="00CF77CE" w:rsidP="00CF77CE">
      <w:pPr>
        <w:ind w:firstLine="480"/>
        <w:rPr>
          <w:b/>
        </w:rPr>
      </w:pPr>
      <w:r>
        <w:t>2</w:t>
      </w:r>
      <w:r w:rsidR="00BC2ADC">
        <w:t xml:space="preserve">  </w:t>
      </w:r>
      <w:r w:rsidR="00905AEA" w:rsidRPr="008C3F84">
        <w:rPr>
          <w:rFonts w:hint="eastAsia"/>
        </w:rPr>
        <w:t>商业综合体</w:t>
      </w:r>
      <w:r w:rsidR="007608EC">
        <w:rPr>
          <w:rFonts w:hint="eastAsia"/>
        </w:rPr>
        <w:t>建筑总面积、地上建筑面积、地下建筑面积、地下停车库面积统计应优先采用</w:t>
      </w:r>
      <w:r w:rsidR="007608EC" w:rsidRPr="007608EC">
        <w:rPr>
          <w:rFonts w:hint="eastAsia"/>
        </w:rPr>
        <w:t>《房屋所有权证》、《不动产权证》或测绘报告，</w:t>
      </w:r>
      <w:r w:rsidR="007608EC">
        <w:rPr>
          <w:rFonts w:hint="eastAsia"/>
        </w:rPr>
        <w:t>当以上数据</w:t>
      </w:r>
      <w:r w:rsidR="006F2780">
        <w:rPr>
          <w:rFonts w:hint="eastAsia"/>
        </w:rPr>
        <w:t>无法获得或数据不完整时，可采用规划图、建筑图等资料数据，并辅以适当的现场核定。</w:t>
      </w:r>
    </w:p>
    <w:p w14:paraId="6FB0ED19" w14:textId="5EE7804C" w:rsidR="006F2780" w:rsidRDefault="00CF77CE" w:rsidP="00CF77CE">
      <w:pPr>
        <w:ind w:firstLine="480"/>
        <w:rPr>
          <w:b/>
        </w:rPr>
      </w:pPr>
      <w:r>
        <w:t>3</w:t>
      </w:r>
      <w:r w:rsidR="00BC2ADC">
        <w:t xml:space="preserve">  </w:t>
      </w:r>
      <w:r w:rsidR="006F2780">
        <w:rPr>
          <w:rFonts w:hint="eastAsia"/>
        </w:rPr>
        <w:t>当</w:t>
      </w:r>
      <w:r w:rsidR="006F2780" w:rsidRPr="008C3F84">
        <w:rPr>
          <w:rFonts w:hint="eastAsia"/>
        </w:rPr>
        <w:t>商业综合体面积中含有</w:t>
      </w:r>
      <w:r w:rsidR="007D35C2" w:rsidRPr="008C3F84">
        <w:rPr>
          <w:rFonts w:hint="eastAsia"/>
        </w:rPr>
        <w:t>酒店、写字楼等</w:t>
      </w:r>
      <w:r w:rsidR="007D35C2">
        <w:rPr>
          <w:rFonts w:hint="eastAsia"/>
        </w:rPr>
        <w:t>其他</w:t>
      </w:r>
      <w:r w:rsidR="006F2780" w:rsidRPr="008C3F84">
        <w:rPr>
          <w:rFonts w:hint="eastAsia"/>
        </w:rPr>
        <w:t>业态时，统计面积中应予核减</w:t>
      </w:r>
      <w:r w:rsidR="00A00163">
        <w:rPr>
          <w:rFonts w:hint="eastAsia"/>
        </w:rPr>
        <w:t>；</w:t>
      </w:r>
      <w:r w:rsidR="00063989">
        <w:rPr>
          <w:rFonts w:hint="eastAsia"/>
        </w:rPr>
        <w:t>当</w:t>
      </w:r>
      <w:r w:rsidR="00063989" w:rsidRPr="008C3F84">
        <w:rPr>
          <w:rFonts w:hint="eastAsia"/>
        </w:rPr>
        <w:t>商业综合体</w:t>
      </w:r>
      <w:r w:rsidR="00063989">
        <w:rPr>
          <w:rFonts w:hint="eastAsia"/>
        </w:rPr>
        <w:t>地下车库与</w:t>
      </w:r>
      <w:r w:rsidR="007D35C2" w:rsidRPr="008C3F84">
        <w:rPr>
          <w:rFonts w:hint="eastAsia"/>
        </w:rPr>
        <w:t>酒店、写字楼等</w:t>
      </w:r>
      <w:r w:rsidR="007D35C2">
        <w:rPr>
          <w:rFonts w:hint="eastAsia"/>
        </w:rPr>
        <w:t>其他</w:t>
      </w:r>
      <w:r w:rsidR="007D35C2" w:rsidRPr="008C3F84">
        <w:rPr>
          <w:rFonts w:hint="eastAsia"/>
        </w:rPr>
        <w:t>业态</w:t>
      </w:r>
      <w:r w:rsidR="00063989">
        <w:rPr>
          <w:rFonts w:hint="eastAsia"/>
        </w:rPr>
        <w:t>共享</w:t>
      </w:r>
      <w:r w:rsidR="00063989" w:rsidRPr="008C3F84">
        <w:rPr>
          <w:rFonts w:hint="eastAsia"/>
        </w:rPr>
        <w:t>时，</w:t>
      </w:r>
      <w:r w:rsidR="00063989">
        <w:rPr>
          <w:rFonts w:hint="eastAsia"/>
        </w:rPr>
        <w:t>应</w:t>
      </w:r>
      <w:r w:rsidR="00A00163">
        <w:rPr>
          <w:rFonts w:hint="eastAsia"/>
        </w:rPr>
        <w:t>根据实际管理情况</w:t>
      </w:r>
      <w:r w:rsidR="00063989">
        <w:rPr>
          <w:rFonts w:hint="eastAsia"/>
        </w:rPr>
        <w:t>按地上建筑面积</w:t>
      </w:r>
      <w:r w:rsidR="00A00163">
        <w:rPr>
          <w:rFonts w:hint="eastAsia"/>
        </w:rPr>
        <w:t>或按车位数分摊</w:t>
      </w:r>
      <w:r w:rsidR="006F2780" w:rsidRPr="008C3F84">
        <w:rPr>
          <w:rFonts w:hint="eastAsia"/>
        </w:rPr>
        <w:t>。</w:t>
      </w:r>
    </w:p>
    <w:p w14:paraId="7184C9B5" w14:textId="3E1C9CD7" w:rsidR="005C4E14" w:rsidRDefault="00CF77CE" w:rsidP="00CF77CE">
      <w:pPr>
        <w:ind w:firstLine="480"/>
        <w:rPr>
          <w:b/>
        </w:rPr>
      </w:pPr>
      <w:r>
        <w:t>4</w:t>
      </w:r>
      <w:r w:rsidR="00BC2ADC">
        <w:t xml:space="preserve">  </w:t>
      </w:r>
      <w:r w:rsidR="005C4E14">
        <w:rPr>
          <w:rFonts w:hint="eastAsia"/>
        </w:rPr>
        <w:t>各业态面积、地下商业面积、地上车库面积统计应采用</w:t>
      </w:r>
      <w:r w:rsidR="005C4E14" w:rsidRPr="007608EC">
        <w:rPr>
          <w:rFonts w:hint="eastAsia"/>
        </w:rPr>
        <w:t>出租或销售合同，</w:t>
      </w:r>
      <w:r w:rsidR="005C4E14">
        <w:rPr>
          <w:rFonts w:hint="eastAsia"/>
        </w:rPr>
        <w:t>当以上数据无法获得或数据不完整时，可采用商业综合体用能单位的管理数据，并辅以适当的现场核定。</w:t>
      </w:r>
    </w:p>
    <w:p w14:paraId="03559C13" w14:textId="0BE2D3FC" w:rsidR="00BC0626" w:rsidRPr="008C3F84" w:rsidRDefault="00CF77CE" w:rsidP="00CF77CE">
      <w:pPr>
        <w:ind w:firstLine="480"/>
        <w:rPr>
          <w:b/>
        </w:rPr>
      </w:pPr>
      <w:r>
        <w:rPr>
          <w:rFonts w:hint="eastAsia"/>
        </w:rPr>
        <w:lastRenderedPageBreak/>
        <w:t>6</w:t>
      </w:r>
      <w:r w:rsidR="00BC2ADC">
        <w:t xml:space="preserve">  </w:t>
      </w:r>
      <w:r w:rsidR="005C4E14" w:rsidRPr="008C3F84">
        <w:rPr>
          <w:rFonts w:hint="eastAsia"/>
        </w:rPr>
        <w:t>商业综合体公共区域面积采用差额法计算：</w:t>
      </w:r>
      <w:r w:rsidR="005C4E14">
        <w:rPr>
          <w:rFonts w:hint="eastAsia"/>
        </w:rPr>
        <w:t>即</w:t>
      </w:r>
      <w:r w:rsidR="005C4E14" w:rsidRPr="008C3F84">
        <w:rPr>
          <w:rFonts w:hint="eastAsia"/>
        </w:rPr>
        <w:t>公共区域面积</w:t>
      </w:r>
      <w:r w:rsidR="005C4E14" w:rsidRPr="008C3F84">
        <w:rPr>
          <w:rFonts w:hint="eastAsia"/>
        </w:rPr>
        <w:t>=</w:t>
      </w:r>
      <w:r w:rsidR="005C4E14" w:rsidRPr="008C3F84">
        <w:rPr>
          <w:rFonts w:hint="eastAsia"/>
        </w:rPr>
        <w:t>地上商业综合体面积</w:t>
      </w:r>
      <w:r w:rsidR="005C4E14" w:rsidRPr="008C3F84">
        <w:rPr>
          <w:rFonts w:hint="eastAsia"/>
        </w:rPr>
        <w:t>-</w:t>
      </w:r>
      <w:r w:rsidR="005C4E14" w:rsidRPr="008C3F84">
        <w:rPr>
          <w:rFonts w:hint="eastAsia"/>
        </w:rPr>
        <w:t>（商铺</w:t>
      </w:r>
      <w:r w:rsidR="005C4E14" w:rsidRPr="008C3F84">
        <w:rPr>
          <w:rFonts w:hint="eastAsia"/>
        </w:rPr>
        <w:t>+</w:t>
      </w:r>
      <w:r w:rsidR="005C4E14" w:rsidRPr="008C3F84">
        <w:rPr>
          <w:rFonts w:hint="eastAsia"/>
        </w:rPr>
        <w:t>超市</w:t>
      </w:r>
      <w:r w:rsidR="005C4E14" w:rsidRPr="008C3F84">
        <w:rPr>
          <w:rFonts w:hint="eastAsia"/>
        </w:rPr>
        <w:t>+</w:t>
      </w:r>
      <w:r w:rsidR="005C4E14" w:rsidRPr="008C3F84">
        <w:rPr>
          <w:rFonts w:hint="eastAsia"/>
        </w:rPr>
        <w:t>餐饮</w:t>
      </w:r>
      <w:r w:rsidR="005C4E14" w:rsidRPr="008C3F84">
        <w:rPr>
          <w:rFonts w:hint="eastAsia"/>
        </w:rPr>
        <w:t>+</w:t>
      </w:r>
      <w:r w:rsidR="005C4E14" w:rsidRPr="008C3F84">
        <w:rPr>
          <w:rFonts w:hint="eastAsia"/>
        </w:rPr>
        <w:t>娱乐）面积。</w:t>
      </w:r>
    </w:p>
    <w:p w14:paraId="06512666" w14:textId="0E36B3B0" w:rsidR="00BC0626" w:rsidRDefault="00CF77CE" w:rsidP="00CF77CE">
      <w:pPr>
        <w:ind w:firstLine="480"/>
      </w:pPr>
      <w:r>
        <w:t>7</w:t>
      </w:r>
      <w:r w:rsidR="00BC2ADC">
        <w:t xml:space="preserve">  </w:t>
      </w:r>
      <w:r w:rsidR="00BC0626" w:rsidRPr="008C3F84">
        <w:rPr>
          <w:rFonts w:hint="eastAsia"/>
        </w:rPr>
        <w:t>商业综合体公共区域有挑空面积时，统计商业综合体面积应予核增，增加量计算公式为：挑空面积×</w:t>
      </w:r>
      <w:r w:rsidR="00BC0626" w:rsidRPr="008C3F84">
        <w:rPr>
          <w:rFonts w:hint="eastAsia"/>
        </w:rPr>
        <w:t>(n-1)</w:t>
      </w:r>
      <w:r w:rsidR="00BC0626" w:rsidRPr="008C3F84">
        <w:rPr>
          <w:rFonts w:hint="eastAsia"/>
        </w:rPr>
        <w:t>，其中</w:t>
      </w:r>
      <w:r w:rsidR="00BC0626" w:rsidRPr="008C3F84">
        <w:rPr>
          <w:rFonts w:hint="eastAsia"/>
        </w:rPr>
        <w:t>n</w:t>
      </w:r>
      <w:r w:rsidR="00BC0626" w:rsidRPr="008C3F84">
        <w:rPr>
          <w:rFonts w:hint="eastAsia"/>
        </w:rPr>
        <w:t>为挑空区域的层数。</w:t>
      </w:r>
    </w:p>
    <w:p w14:paraId="677290BA" w14:textId="2099769D" w:rsidR="007D35C2" w:rsidRDefault="007D35C2" w:rsidP="007D35C2">
      <w:pPr>
        <w:ind w:firstLine="480"/>
      </w:pPr>
      <w:r>
        <w:rPr>
          <w:rFonts w:hint="eastAsia"/>
        </w:rPr>
        <w:t>4.1.2</w:t>
      </w:r>
      <w:r>
        <w:t xml:space="preserve"> </w:t>
      </w:r>
      <w:r>
        <w:rPr>
          <w:rFonts w:hint="eastAsia"/>
        </w:rPr>
        <w:t>当各业态面积</w:t>
      </w:r>
      <w:r w:rsidRPr="008C3F84">
        <w:rPr>
          <w:rFonts w:hint="eastAsia"/>
        </w:rPr>
        <w:t>统计数据不全</w:t>
      </w:r>
      <w:r>
        <w:rPr>
          <w:rFonts w:hint="eastAsia"/>
        </w:rPr>
        <w:t>，应</w:t>
      </w:r>
      <w:r w:rsidRPr="008C3F84">
        <w:rPr>
          <w:rFonts w:hint="eastAsia"/>
        </w:rPr>
        <w:t>采用</w:t>
      </w:r>
      <w:r>
        <w:rPr>
          <w:rFonts w:hint="eastAsia"/>
        </w:rPr>
        <w:t>表</w:t>
      </w:r>
      <w:r>
        <w:t>4</w:t>
      </w:r>
      <w:r>
        <w:rPr>
          <w:rFonts w:hint="eastAsia"/>
        </w:rPr>
        <w:t>.1.2</w:t>
      </w:r>
      <w:r>
        <w:rPr>
          <w:rFonts w:hint="eastAsia"/>
        </w:rPr>
        <w:t>的面积比例；当一个或多个业态面积比例超出表</w:t>
      </w:r>
      <w:r>
        <w:t>4</w:t>
      </w:r>
      <w:r>
        <w:rPr>
          <w:rFonts w:hint="eastAsia"/>
        </w:rPr>
        <w:t>.1.2</w:t>
      </w:r>
      <w:r>
        <w:rPr>
          <w:rFonts w:hint="eastAsia"/>
        </w:rPr>
        <w:t>数值的</w:t>
      </w:r>
      <w:r w:rsidRPr="008C3F84">
        <w:rPr>
          <w:rFonts w:hint="eastAsia"/>
        </w:rPr>
        <w:t>25%</w:t>
      </w:r>
      <w:r w:rsidRPr="008C3F84">
        <w:rPr>
          <w:rFonts w:hint="eastAsia"/>
        </w:rPr>
        <w:t>时，</w:t>
      </w:r>
      <w:r>
        <w:rPr>
          <w:rFonts w:hint="eastAsia"/>
        </w:rPr>
        <w:t>应</w:t>
      </w:r>
      <w:r w:rsidRPr="008C3F84">
        <w:rPr>
          <w:rFonts w:hint="eastAsia"/>
        </w:rPr>
        <w:t>采用</w:t>
      </w:r>
      <w:r>
        <w:rPr>
          <w:rFonts w:hint="eastAsia"/>
        </w:rPr>
        <w:t>表</w:t>
      </w:r>
      <w:r>
        <w:t>4</w:t>
      </w:r>
      <w:r>
        <w:rPr>
          <w:rFonts w:hint="eastAsia"/>
        </w:rPr>
        <w:t>.1.2</w:t>
      </w:r>
      <w:r>
        <w:rPr>
          <w:rFonts w:hint="eastAsia"/>
        </w:rPr>
        <w:t>的面积比例。</w:t>
      </w:r>
    </w:p>
    <w:p w14:paraId="312724C2" w14:textId="335D6286" w:rsidR="007D35C2" w:rsidRDefault="007D35C2" w:rsidP="007D35C2">
      <w:pPr>
        <w:ind w:left="425" w:firstLineChars="0" w:firstLine="0"/>
        <w:jc w:val="center"/>
      </w:pPr>
      <w:r w:rsidRPr="00091D55">
        <w:rPr>
          <w:rFonts w:hint="eastAsia"/>
        </w:rPr>
        <w:t>表</w:t>
      </w:r>
      <w:r>
        <w:t>4</w:t>
      </w:r>
      <w:r>
        <w:rPr>
          <w:rFonts w:hint="eastAsia"/>
        </w:rPr>
        <w:t>.1.2</w:t>
      </w:r>
      <w:r w:rsidRPr="00091D55">
        <w:rPr>
          <w:rFonts w:hint="eastAsia"/>
        </w:rPr>
        <w:t>商业综合体</w:t>
      </w:r>
      <w:r>
        <w:rPr>
          <w:rFonts w:hint="eastAsia"/>
        </w:rPr>
        <w:t>各</w:t>
      </w:r>
      <w:r w:rsidRPr="00091D55">
        <w:rPr>
          <w:rFonts w:hint="eastAsia"/>
        </w:rPr>
        <w:t>业态</w:t>
      </w:r>
      <w:r>
        <w:rPr>
          <w:rFonts w:hint="eastAsia"/>
        </w:rPr>
        <w:t>面积比例</w:t>
      </w:r>
    </w:p>
    <w:tbl>
      <w:tblPr>
        <w:tblStyle w:val="af1"/>
        <w:tblpPr w:leftFromText="180" w:rightFromText="180" w:vertAnchor="text" w:horzAnchor="margin" w:tblpY="81"/>
        <w:tblW w:w="5000" w:type="pct"/>
        <w:tblLayout w:type="fixed"/>
        <w:tblLook w:val="04A0" w:firstRow="1" w:lastRow="0" w:firstColumn="1" w:lastColumn="0" w:noHBand="0" w:noVBand="1"/>
      </w:tblPr>
      <w:tblGrid>
        <w:gridCol w:w="1625"/>
        <w:gridCol w:w="1668"/>
        <w:gridCol w:w="1669"/>
        <w:gridCol w:w="1667"/>
        <w:gridCol w:w="1667"/>
      </w:tblGrid>
      <w:tr w:rsidR="007D35C2" w:rsidRPr="007B1511" w14:paraId="78E4E6F3" w14:textId="77777777" w:rsidTr="00FB67D3">
        <w:trPr>
          <w:trHeight w:val="278"/>
        </w:trPr>
        <w:tc>
          <w:tcPr>
            <w:tcW w:w="979" w:type="pct"/>
            <w:noWrap/>
            <w:vAlign w:val="center"/>
            <w:hideMark/>
          </w:tcPr>
          <w:p w14:paraId="45BA039D" w14:textId="77777777" w:rsidR="007D35C2" w:rsidRPr="007B1511" w:rsidRDefault="007D35C2" w:rsidP="00FB67D3">
            <w:pPr>
              <w:ind w:firstLineChars="0" w:firstLine="0"/>
              <w:jc w:val="center"/>
            </w:pPr>
            <w:r w:rsidRPr="007B1511">
              <w:rPr>
                <w:rFonts w:hint="eastAsia"/>
              </w:rPr>
              <w:t>业态</w:t>
            </w:r>
            <w:r>
              <w:rPr>
                <w:rFonts w:hint="eastAsia"/>
              </w:rPr>
              <w:t>分类</w:t>
            </w:r>
          </w:p>
        </w:tc>
        <w:tc>
          <w:tcPr>
            <w:tcW w:w="1005" w:type="pct"/>
            <w:noWrap/>
            <w:vAlign w:val="center"/>
            <w:hideMark/>
          </w:tcPr>
          <w:p w14:paraId="0C296F69" w14:textId="77777777" w:rsidR="007D35C2" w:rsidRDefault="007D35C2" w:rsidP="00FB67D3">
            <w:pPr>
              <w:ind w:firstLineChars="0" w:firstLine="0"/>
              <w:jc w:val="center"/>
            </w:pPr>
            <w:r w:rsidRPr="007B1511">
              <w:rPr>
                <w:rFonts w:hint="eastAsia"/>
              </w:rPr>
              <w:t>商铺</w:t>
            </w:r>
          </w:p>
          <w:p w14:paraId="2CA3CCAA" w14:textId="77777777" w:rsidR="007D35C2" w:rsidRPr="007525D8" w:rsidRDefault="007D35C2" w:rsidP="00FB67D3">
            <w:pPr>
              <w:ind w:firstLineChars="0" w:firstLine="0"/>
              <w:jc w:val="center"/>
            </w:pPr>
            <w:r>
              <w:rPr>
                <w:rFonts w:hint="eastAsia"/>
              </w:rPr>
              <w:t>（含</w:t>
            </w:r>
            <w:r w:rsidRPr="007B1511">
              <w:rPr>
                <w:rFonts w:hint="eastAsia"/>
              </w:rPr>
              <w:t>超市</w:t>
            </w:r>
            <w:r>
              <w:rPr>
                <w:rFonts w:hint="eastAsia"/>
              </w:rPr>
              <w:t>）</w:t>
            </w:r>
          </w:p>
        </w:tc>
        <w:tc>
          <w:tcPr>
            <w:tcW w:w="1006" w:type="pct"/>
            <w:vAlign w:val="center"/>
          </w:tcPr>
          <w:p w14:paraId="22EF4E1B" w14:textId="77777777" w:rsidR="007D35C2" w:rsidRPr="007B1511" w:rsidRDefault="007D35C2" w:rsidP="00FB67D3">
            <w:pPr>
              <w:ind w:firstLineChars="0" w:firstLine="0"/>
              <w:jc w:val="center"/>
            </w:pPr>
            <w:r w:rsidRPr="007B1511">
              <w:rPr>
                <w:rFonts w:hint="eastAsia"/>
              </w:rPr>
              <w:t>餐饮</w:t>
            </w:r>
          </w:p>
        </w:tc>
        <w:tc>
          <w:tcPr>
            <w:tcW w:w="1005" w:type="pct"/>
            <w:vAlign w:val="center"/>
          </w:tcPr>
          <w:p w14:paraId="51942C10" w14:textId="77777777" w:rsidR="007D35C2" w:rsidRPr="007B1511" w:rsidRDefault="007D35C2" w:rsidP="00FB67D3">
            <w:pPr>
              <w:ind w:firstLineChars="0" w:firstLine="0"/>
              <w:jc w:val="center"/>
            </w:pPr>
            <w:r w:rsidRPr="007B1511">
              <w:rPr>
                <w:rFonts w:hint="eastAsia"/>
              </w:rPr>
              <w:t>娱乐</w:t>
            </w:r>
          </w:p>
        </w:tc>
        <w:tc>
          <w:tcPr>
            <w:tcW w:w="1005" w:type="pct"/>
            <w:noWrap/>
            <w:vAlign w:val="center"/>
            <w:hideMark/>
          </w:tcPr>
          <w:p w14:paraId="3C6B3BE0" w14:textId="77777777" w:rsidR="007D35C2" w:rsidRPr="007B1511" w:rsidRDefault="007D35C2" w:rsidP="00FB67D3">
            <w:pPr>
              <w:ind w:firstLineChars="0" w:firstLine="0"/>
              <w:jc w:val="center"/>
            </w:pPr>
            <w:r>
              <w:rPr>
                <w:rFonts w:hint="eastAsia"/>
              </w:rPr>
              <w:t>公共区域</w:t>
            </w:r>
          </w:p>
        </w:tc>
      </w:tr>
      <w:tr w:rsidR="007D35C2" w:rsidRPr="007B1511" w14:paraId="41E8EB25" w14:textId="77777777" w:rsidTr="00FB67D3">
        <w:trPr>
          <w:trHeight w:val="278"/>
        </w:trPr>
        <w:tc>
          <w:tcPr>
            <w:tcW w:w="979" w:type="pct"/>
            <w:noWrap/>
            <w:vAlign w:val="center"/>
            <w:hideMark/>
          </w:tcPr>
          <w:p w14:paraId="007CEBAC" w14:textId="77777777" w:rsidR="007D35C2" w:rsidRPr="007B1511" w:rsidRDefault="007D35C2" w:rsidP="00FB67D3">
            <w:pPr>
              <w:ind w:firstLineChars="0" w:firstLine="0"/>
              <w:jc w:val="center"/>
            </w:pPr>
            <w:r>
              <w:rPr>
                <w:rFonts w:hint="eastAsia"/>
              </w:rPr>
              <w:t>面积占比</w:t>
            </w:r>
          </w:p>
        </w:tc>
        <w:tc>
          <w:tcPr>
            <w:tcW w:w="1005" w:type="pct"/>
            <w:noWrap/>
            <w:vAlign w:val="center"/>
            <w:hideMark/>
          </w:tcPr>
          <w:p w14:paraId="5369CE78" w14:textId="77777777" w:rsidR="007D35C2" w:rsidRPr="007B1511" w:rsidRDefault="007D35C2" w:rsidP="00FB67D3">
            <w:pPr>
              <w:ind w:firstLineChars="0" w:firstLine="0"/>
              <w:jc w:val="center"/>
            </w:pPr>
            <w:r>
              <w:rPr>
                <w:rFonts w:hint="eastAsia"/>
              </w:rPr>
              <w:t>0.41</w:t>
            </w:r>
          </w:p>
        </w:tc>
        <w:tc>
          <w:tcPr>
            <w:tcW w:w="1006" w:type="pct"/>
          </w:tcPr>
          <w:p w14:paraId="1D22B926" w14:textId="77777777" w:rsidR="007D35C2" w:rsidRPr="007B1511" w:rsidRDefault="007D35C2" w:rsidP="00FB67D3">
            <w:pPr>
              <w:ind w:firstLineChars="0" w:firstLine="0"/>
              <w:jc w:val="center"/>
            </w:pPr>
            <w:r>
              <w:rPr>
                <w:rFonts w:hint="eastAsia"/>
              </w:rPr>
              <w:t>0.16</w:t>
            </w:r>
          </w:p>
        </w:tc>
        <w:tc>
          <w:tcPr>
            <w:tcW w:w="1005" w:type="pct"/>
          </w:tcPr>
          <w:p w14:paraId="5825A6CB" w14:textId="77777777" w:rsidR="007D35C2" w:rsidRPr="007B1511" w:rsidRDefault="007D35C2" w:rsidP="00FB67D3">
            <w:pPr>
              <w:ind w:firstLineChars="0" w:firstLine="0"/>
              <w:jc w:val="center"/>
            </w:pPr>
            <w:r>
              <w:rPr>
                <w:rFonts w:hint="eastAsia"/>
              </w:rPr>
              <w:t>0.13</w:t>
            </w:r>
          </w:p>
        </w:tc>
        <w:tc>
          <w:tcPr>
            <w:tcW w:w="1005" w:type="pct"/>
            <w:noWrap/>
            <w:vAlign w:val="center"/>
            <w:hideMark/>
          </w:tcPr>
          <w:p w14:paraId="377C983B" w14:textId="3E36CB48" w:rsidR="007D35C2" w:rsidRPr="007B1511" w:rsidRDefault="007D35C2" w:rsidP="00FB67D3">
            <w:pPr>
              <w:ind w:firstLineChars="0" w:firstLine="0"/>
              <w:jc w:val="center"/>
            </w:pPr>
            <w:r>
              <w:rPr>
                <w:rFonts w:hint="eastAsia"/>
              </w:rPr>
              <w:t>0.3</w:t>
            </w:r>
            <w:r w:rsidR="00223937">
              <w:rPr>
                <w:rFonts w:hint="eastAsia"/>
              </w:rPr>
              <w:t>0</w:t>
            </w:r>
          </w:p>
        </w:tc>
      </w:tr>
    </w:tbl>
    <w:p w14:paraId="63982234" w14:textId="77777777" w:rsidR="007D35C2" w:rsidRDefault="007D35C2" w:rsidP="00CF77CE">
      <w:pPr>
        <w:ind w:firstLine="482"/>
        <w:rPr>
          <w:b/>
        </w:rPr>
      </w:pPr>
    </w:p>
    <w:p w14:paraId="723AD1F2" w14:textId="60C17F07" w:rsidR="00A85D58" w:rsidRPr="00CF77CE" w:rsidRDefault="00CF77CE" w:rsidP="00CF77CE">
      <w:pPr>
        <w:pStyle w:val="2"/>
        <w:numPr>
          <w:ilvl w:val="0"/>
          <w:numId w:val="0"/>
        </w:numPr>
        <w:ind w:left="567"/>
        <w:jc w:val="center"/>
        <w:rPr>
          <w:bCs w:val="0"/>
        </w:rPr>
      </w:pPr>
      <w:bookmarkStart w:id="13" w:name="_Toc64983953"/>
      <w:r w:rsidRPr="00CF77CE">
        <w:rPr>
          <w:rFonts w:hint="eastAsia"/>
          <w:bCs w:val="0"/>
          <w:sz w:val="24"/>
          <w:szCs w:val="24"/>
        </w:rPr>
        <w:t>4</w:t>
      </w:r>
      <w:r w:rsidRPr="00CF77CE">
        <w:rPr>
          <w:bCs w:val="0"/>
          <w:sz w:val="24"/>
          <w:szCs w:val="24"/>
        </w:rPr>
        <w:t>.2</w:t>
      </w:r>
      <w:r w:rsidR="00BC2ADC">
        <w:rPr>
          <w:bCs w:val="0"/>
          <w:sz w:val="24"/>
          <w:szCs w:val="24"/>
        </w:rPr>
        <w:t xml:space="preserve">  </w:t>
      </w:r>
      <w:r w:rsidR="00A85D58" w:rsidRPr="00CF77CE">
        <w:rPr>
          <w:rFonts w:hint="eastAsia"/>
          <w:bCs w:val="0"/>
          <w:sz w:val="24"/>
          <w:szCs w:val="24"/>
        </w:rPr>
        <w:t>能耗统计</w:t>
      </w:r>
      <w:bookmarkEnd w:id="13"/>
    </w:p>
    <w:p w14:paraId="55952846" w14:textId="2BA7D189" w:rsidR="00BC0626" w:rsidRPr="008C3F84" w:rsidRDefault="00CF77CE" w:rsidP="00CF77CE">
      <w:pPr>
        <w:ind w:firstLine="480"/>
        <w:rPr>
          <w:b/>
        </w:rPr>
      </w:pPr>
      <w:r>
        <w:rPr>
          <w:rFonts w:hint="eastAsia"/>
        </w:rPr>
        <w:t>4</w:t>
      </w:r>
      <w:r>
        <w:t>.2.1</w:t>
      </w:r>
      <w:r w:rsidR="00BC2ADC">
        <w:t xml:space="preserve">  </w:t>
      </w:r>
      <w:r w:rsidR="00466055">
        <w:rPr>
          <w:rFonts w:hint="eastAsia"/>
        </w:rPr>
        <w:t>商业综合体</w:t>
      </w:r>
      <w:r w:rsidR="00F861FB">
        <w:rPr>
          <w:rFonts w:hint="eastAsia"/>
        </w:rPr>
        <w:t>总</w:t>
      </w:r>
      <w:r w:rsidR="00466055">
        <w:rPr>
          <w:rFonts w:hint="eastAsia"/>
        </w:rPr>
        <w:t>能耗</w:t>
      </w:r>
      <w:r w:rsidR="00F861FB">
        <w:rPr>
          <w:rFonts w:hint="eastAsia"/>
        </w:rPr>
        <w:t>的</w:t>
      </w:r>
      <w:r w:rsidR="00466055">
        <w:rPr>
          <w:rFonts w:hint="eastAsia"/>
        </w:rPr>
        <w:t>统计应符合</w:t>
      </w:r>
      <w:r w:rsidR="00FB67D3">
        <w:rPr>
          <w:rFonts w:hint="eastAsia"/>
        </w:rPr>
        <w:t>下列</w:t>
      </w:r>
      <w:r w:rsidR="00466055">
        <w:rPr>
          <w:rFonts w:hint="eastAsia"/>
        </w:rPr>
        <w:t>规定：</w:t>
      </w:r>
    </w:p>
    <w:p w14:paraId="5636ECE8" w14:textId="70081834" w:rsidR="00514FC1" w:rsidRDefault="00CF77CE" w:rsidP="00CF77CE">
      <w:pPr>
        <w:ind w:firstLine="480"/>
        <w:rPr>
          <w:b/>
        </w:rPr>
      </w:pPr>
      <w:r>
        <w:rPr>
          <w:rFonts w:hint="eastAsia"/>
        </w:rPr>
        <w:t>1</w:t>
      </w:r>
      <w:r w:rsidR="00BC2ADC">
        <w:t xml:space="preserve">  </w:t>
      </w:r>
      <w:r w:rsidR="002D1199" w:rsidRPr="00514FC1">
        <w:rPr>
          <w:rFonts w:hint="eastAsia"/>
        </w:rPr>
        <w:t>商业综合体总能耗应采用电力公司、燃气公司</w:t>
      </w:r>
      <w:r w:rsidR="00F861FB">
        <w:rPr>
          <w:rFonts w:hint="eastAsia"/>
        </w:rPr>
        <w:t>、集中能源站</w:t>
      </w:r>
      <w:r w:rsidR="00514FC1" w:rsidRPr="00514FC1">
        <w:rPr>
          <w:rFonts w:hint="eastAsia"/>
        </w:rPr>
        <w:t>等能源供应单位的数据。</w:t>
      </w:r>
    </w:p>
    <w:p w14:paraId="142B5434" w14:textId="21932358" w:rsidR="00BC0626" w:rsidRPr="00514FC1" w:rsidRDefault="00CF77CE" w:rsidP="00CF77CE">
      <w:pPr>
        <w:ind w:firstLine="480"/>
        <w:rPr>
          <w:b/>
        </w:rPr>
      </w:pPr>
      <w:r>
        <w:t>2</w:t>
      </w:r>
      <w:r w:rsidR="00BC2ADC">
        <w:t xml:space="preserve">  </w:t>
      </w:r>
      <w:r w:rsidR="00514FC1" w:rsidRPr="00514FC1">
        <w:rPr>
          <w:rFonts w:hint="eastAsia"/>
        </w:rPr>
        <w:t>商业综合体总能耗</w:t>
      </w:r>
      <w:r w:rsidR="00BC0626" w:rsidRPr="00514FC1">
        <w:rPr>
          <w:rFonts w:hint="eastAsia"/>
        </w:rPr>
        <w:t>中含有</w:t>
      </w:r>
      <w:r w:rsidR="00935138">
        <w:rPr>
          <w:rFonts w:hint="eastAsia"/>
        </w:rPr>
        <w:t>其他</w:t>
      </w:r>
      <w:r w:rsidR="00BC0626" w:rsidRPr="00514FC1">
        <w:rPr>
          <w:rFonts w:hint="eastAsia"/>
        </w:rPr>
        <w:t>业态（如酒店、写字楼等）和</w:t>
      </w:r>
      <w:r w:rsidR="00935138">
        <w:rPr>
          <w:rFonts w:hint="eastAsia"/>
        </w:rPr>
        <w:t>其他</w:t>
      </w:r>
      <w:r w:rsidR="00BC0626" w:rsidRPr="00514FC1">
        <w:rPr>
          <w:rFonts w:hint="eastAsia"/>
        </w:rPr>
        <w:t>业态附带的地下空间能耗时，商业综合体总能耗中应予核减。</w:t>
      </w:r>
    </w:p>
    <w:p w14:paraId="5D4A1326" w14:textId="1E2BC798" w:rsidR="00D71001" w:rsidRDefault="00CF77CE" w:rsidP="00CF77CE">
      <w:pPr>
        <w:ind w:firstLine="480"/>
        <w:rPr>
          <w:b/>
        </w:rPr>
      </w:pPr>
      <w:r>
        <w:t>3</w:t>
      </w:r>
      <w:r w:rsidR="00BC2ADC">
        <w:t xml:space="preserve">  </w:t>
      </w:r>
      <w:r w:rsidR="00935138">
        <w:rPr>
          <w:rFonts w:hint="eastAsia"/>
        </w:rPr>
        <w:t>其他</w:t>
      </w:r>
      <w:r w:rsidR="00D71001" w:rsidRPr="00514FC1">
        <w:rPr>
          <w:rFonts w:hint="eastAsia"/>
        </w:rPr>
        <w:t>业态和</w:t>
      </w:r>
      <w:r w:rsidR="00935138">
        <w:rPr>
          <w:rFonts w:hint="eastAsia"/>
        </w:rPr>
        <w:t>其他</w:t>
      </w:r>
      <w:r w:rsidR="00D71001" w:rsidRPr="00514FC1">
        <w:rPr>
          <w:rFonts w:hint="eastAsia"/>
        </w:rPr>
        <w:t>业态附带的地下空间</w:t>
      </w:r>
      <w:r w:rsidR="00D71001">
        <w:rPr>
          <w:rFonts w:hint="eastAsia"/>
        </w:rPr>
        <w:t>能耗应优先采用</w:t>
      </w:r>
      <w:r w:rsidR="00D71001" w:rsidRPr="00514FC1">
        <w:rPr>
          <w:rFonts w:hint="eastAsia"/>
        </w:rPr>
        <w:t>电力公司、燃气公司等能源供应单位的数据</w:t>
      </w:r>
      <w:r w:rsidR="00D71001">
        <w:rPr>
          <w:rFonts w:hint="eastAsia"/>
        </w:rPr>
        <w:t>，当以上数据无法获得或数据不完整时，可</w:t>
      </w:r>
      <w:r w:rsidR="00D71001" w:rsidRPr="00514FC1">
        <w:rPr>
          <w:rFonts w:hint="eastAsia"/>
        </w:rPr>
        <w:t>采用</w:t>
      </w:r>
      <w:r w:rsidR="00D71001">
        <w:rPr>
          <w:rFonts w:hint="eastAsia"/>
        </w:rPr>
        <w:t>商业综合体用能单位的能耗统计数据，并辅以适当的现场核定。</w:t>
      </w:r>
    </w:p>
    <w:p w14:paraId="7DCD84D9" w14:textId="38BE54D3" w:rsidR="00D71001" w:rsidRDefault="00CF77CE" w:rsidP="00CF77CE">
      <w:pPr>
        <w:ind w:firstLine="480"/>
        <w:rPr>
          <w:b/>
        </w:rPr>
      </w:pPr>
      <w:r>
        <w:t>4</w:t>
      </w:r>
      <w:r w:rsidR="00BC2ADC">
        <w:t xml:space="preserve">  </w:t>
      </w:r>
      <w:r w:rsidR="00D71001">
        <w:rPr>
          <w:rFonts w:hint="eastAsia"/>
        </w:rPr>
        <w:t>当商业综合体用能单位的</w:t>
      </w:r>
      <w:r w:rsidR="00935138">
        <w:rPr>
          <w:rFonts w:hint="eastAsia"/>
        </w:rPr>
        <w:t>其他</w:t>
      </w:r>
      <w:r w:rsidR="00D71001">
        <w:rPr>
          <w:rFonts w:hint="eastAsia"/>
        </w:rPr>
        <w:t>业态能耗</w:t>
      </w:r>
      <w:r w:rsidR="00D71001" w:rsidRPr="008C3F84">
        <w:rPr>
          <w:rFonts w:hint="eastAsia"/>
        </w:rPr>
        <w:t>统计数据不全或统计数据与</w:t>
      </w:r>
      <w:r w:rsidR="00FB67D3">
        <w:rPr>
          <w:rFonts w:hint="eastAsia"/>
        </w:rPr>
        <w:t>国家标准</w:t>
      </w:r>
      <w:r w:rsidR="00D71001" w:rsidRPr="008C3F84">
        <w:rPr>
          <w:rFonts w:hint="eastAsia"/>
        </w:rPr>
        <w:t>《民用</w:t>
      </w:r>
      <w:r w:rsidR="00D71001">
        <w:rPr>
          <w:rFonts w:hint="eastAsia"/>
        </w:rPr>
        <w:t>建筑</w:t>
      </w:r>
      <w:r w:rsidR="00D71001" w:rsidRPr="008C3F84">
        <w:rPr>
          <w:rFonts w:hint="eastAsia"/>
        </w:rPr>
        <w:t>能耗标准》</w:t>
      </w:r>
      <w:r w:rsidR="00D71001" w:rsidRPr="008C3F84">
        <w:rPr>
          <w:rFonts w:hint="eastAsia"/>
        </w:rPr>
        <w:t>GB/T 51161-2016</w:t>
      </w:r>
      <w:r w:rsidR="00FB67D3">
        <w:rPr>
          <w:rFonts w:hint="eastAsia"/>
        </w:rPr>
        <w:t>能耗</w:t>
      </w:r>
      <w:r w:rsidR="00D71001" w:rsidRPr="008C3F84">
        <w:rPr>
          <w:rFonts w:hint="eastAsia"/>
        </w:rPr>
        <w:t>相差</w:t>
      </w:r>
      <w:r w:rsidR="00913894">
        <w:rPr>
          <w:rFonts w:hint="eastAsia"/>
        </w:rPr>
        <w:t>大于</w:t>
      </w:r>
      <w:r w:rsidR="00D71001" w:rsidRPr="008C3F84">
        <w:rPr>
          <w:rFonts w:hint="eastAsia"/>
        </w:rPr>
        <w:t>25%</w:t>
      </w:r>
      <w:r w:rsidR="00D71001" w:rsidRPr="008C3F84">
        <w:rPr>
          <w:rFonts w:hint="eastAsia"/>
        </w:rPr>
        <w:t>时，</w:t>
      </w:r>
      <w:r w:rsidR="00D71001">
        <w:rPr>
          <w:rFonts w:hint="eastAsia"/>
        </w:rPr>
        <w:t>应按照</w:t>
      </w:r>
      <w:r w:rsidR="00D71001" w:rsidRPr="008C3F84">
        <w:rPr>
          <w:rFonts w:hint="eastAsia"/>
        </w:rPr>
        <w:t>《民用</w:t>
      </w:r>
      <w:r w:rsidR="00D71001">
        <w:rPr>
          <w:rFonts w:hint="eastAsia"/>
        </w:rPr>
        <w:t>建筑</w:t>
      </w:r>
      <w:r w:rsidR="00D71001" w:rsidRPr="008C3F84">
        <w:rPr>
          <w:rFonts w:hint="eastAsia"/>
        </w:rPr>
        <w:t>能耗标准》</w:t>
      </w:r>
      <w:r w:rsidR="00D71001" w:rsidRPr="008C3F84">
        <w:rPr>
          <w:rFonts w:hint="eastAsia"/>
        </w:rPr>
        <w:t>GB/T 51161-2016</w:t>
      </w:r>
      <w:r w:rsidR="00D71001">
        <w:rPr>
          <w:rFonts w:hint="eastAsia"/>
        </w:rPr>
        <w:t>中相应能耗指标予以核减。</w:t>
      </w:r>
    </w:p>
    <w:p w14:paraId="506E7630" w14:textId="066C314F" w:rsidR="003455B1" w:rsidRDefault="00CF77CE" w:rsidP="00CF77CE">
      <w:pPr>
        <w:ind w:firstLine="480"/>
        <w:rPr>
          <w:b/>
        </w:rPr>
      </w:pPr>
      <w:r>
        <w:t>5</w:t>
      </w:r>
      <w:r w:rsidR="00BC2ADC">
        <w:t xml:space="preserve"> </w:t>
      </w:r>
      <w:r w:rsidR="00BC0626" w:rsidRPr="008C3F84">
        <w:rPr>
          <w:rFonts w:hint="eastAsia"/>
        </w:rPr>
        <w:t>当</w:t>
      </w:r>
      <w:r w:rsidR="00BC0626">
        <w:rPr>
          <w:rFonts w:hint="eastAsia"/>
        </w:rPr>
        <w:t>特定功能</w:t>
      </w:r>
      <w:r w:rsidR="00BC0626" w:rsidRPr="008C3F84">
        <w:rPr>
          <w:rFonts w:hint="eastAsia"/>
        </w:rPr>
        <w:t>能耗的分项能耗采用本指南</w:t>
      </w:r>
      <w:r w:rsidR="00BC0626">
        <w:rPr>
          <w:rFonts w:hint="eastAsia"/>
        </w:rPr>
        <w:t>特定功能</w:t>
      </w:r>
      <w:r w:rsidR="00BC0626" w:rsidRPr="008C3F84">
        <w:rPr>
          <w:rFonts w:hint="eastAsia"/>
        </w:rPr>
        <w:t>能耗指标法：相应</w:t>
      </w:r>
      <w:r w:rsidR="00BC0626">
        <w:rPr>
          <w:rFonts w:hint="eastAsia"/>
        </w:rPr>
        <w:t>特定功能</w:t>
      </w:r>
      <w:r w:rsidR="00BC0626" w:rsidRPr="008C3F84">
        <w:rPr>
          <w:rFonts w:hint="eastAsia"/>
        </w:rPr>
        <w:t>能耗数量</w:t>
      </w:r>
      <w:r w:rsidR="00A16D54" w:rsidRPr="008C3F84">
        <w:rPr>
          <w:rFonts w:hint="eastAsia"/>
        </w:rPr>
        <w:t>×</w:t>
      </w:r>
      <w:r w:rsidR="00BC0626">
        <w:rPr>
          <w:rFonts w:hint="eastAsia"/>
        </w:rPr>
        <w:t>特定功能</w:t>
      </w:r>
      <w:r w:rsidR="00BC0626" w:rsidRPr="008C3F84">
        <w:rPr>
          <w:rFonts w:hint="eastAsia"/>
        </w:rPr>
        <w:t>能耗用能指标。</w:t>
      </w:r>
    </w:p>
    <w:p w14:paraId="38B8E4EE" w14:textId="0FD01F96" w:rsidR="00BC0626" w:rsidRDefault="00CF77CE" w:rsidP="00CF77CE">
      <w:pPr>
        <w:ind w:firstLine="480"/>
        <w:rPr>
          <w:b/>
        </w:rPr>
      </w:pPr>
      <w:r>
        <w:rPr>
          <w:rFonts w:hint="eastAsia"/>
        </w:rPr>
        <w:t>6</w:t>
      </w:r>
      <w:r w:rsidR="00BC2ADC">
        <w:t xml:space="preserve">  </w:t>
      </w:r>
      <w:r w:rsidR="003455B1">
        <w:rPr>
          <w:rFonts w:hint="eastAsia"/>
        </w:rPr>
        <w:t>特定功能能耗应</w:t>
      </w:r>
      <w:r w:rsidR="003455B1" w:rsidRPr="00A7533D">
        <w:rPr>
          <w:rFonts w:hint="eastAsia"/>
        </w:rPr>
        <w:t>具有单独计量系统，</w:t>
      </w:r>
      <w:r w:rsidR="003455B1">
        <w:rPr>
          <w:rFonts w:hint="eastAsia"/>
        </w:rPr>
        <w:t>其能耗</w:t>
      </w:r>
      <w:r w:rsidR="003455B1" w:rsidRPr="00A7533D">
        <w:rPr>
          <w:rFonts w:hint="eastAsia"/>
        </w:rPr>
        <w:t>应根据计量</w:t>
      </w:r>
      <w:r w:rsidR="003455B1">
        <w:rPr>
          <w:rFonts w:hint="eastAsia"/>
        </w:rPr>
        <w:t>系统</w:t>
      </w:r>
      <w:r w:rsidR="003455B1" w:rsidRPr="00A7533D">
        <w:rPr>
          <w:rFonts w:hint="eastAsia"/>
        </w:rPr>
        <w:t>数据进行统计。</w:t>
      </w:r>
      <w:r w:rsidR="003455B1">
        <w:rPr>
          <w:rFonts w:hint="eastAsia"/>
        </w:rPr>
        <w:t>当</w:t>
      </w:r>
      <w:r w:rsidR="003455B1" w:rsidRPr="008C3F84">
        <w:rPr>
          <w:rFonts w:hint="eastAsia"/>
        </w:rPr>
        <w:t>统计数据不全或与本指南</w:t>
      </w:r>
      <w:r w:rsidR="003455B1">
        <w:rPr>
          <w:rFonts w:hint="eastAsia"/>
        </w:rPr>
        <w:t>特定功能</w:t>
      </w:r>
      <w:r w:rsidR="003455B1" w:rsidRPr="008C3F84">
        <w:rPr>
          <w:rFonts w:hint="eastAsia"/>
        </w:rPr>
        <w:t>能耗指标相差较大时，</w:t>
      </w:r>
      <w:r w:rsidR="003455B1" w:rsidRPr="00A7533D">
        <w:rPr>
          <w:rFonts w:hint="eastAsia"/>
        </w:rPr>
        <w:t>应按照本指南</w:t>
      </w:r>
      <w:r w:rsidR="003455B1">
        <w:rPr>
          <w:rFonts w:hint="eastAsia"/>
        </w:rPr>
        <w:t>特定功能能耗</w:t>
      </w:r>
      <w:r w:rsidR="003455B1" w:rsidRPr="00A7533D">
        <w:rPr>
          <w:rFonts w:hint="eastAsia"/>
        </w:rPr>
        <w:t>指标进行统计。</w:t>
      </w:r>
    </w:p>
    <w:p w14:paraId="283361F8" w14:textId="379B3BA8" w:rsidR="006B4D88" w:rsidRDefault="00CF77CE" w:rsidP="00CF77CE">
      <w:pPr>
        <w:ind w:firstLine="480"/>
        <w:rPr>
          <w:b/>
        </w:rPr>
      </w:pPr>
      <w:r>
        <w:rPr>
          <w:rFonts w:hint="eastAsia"/>
        </w:rPr>
        <w:lastRenderedPageBreak/>
        <w:t>7</w:t>
      </w:r>
      <w:r w:rsidR="00BC2ADC">
        <w:t xml:space="preserve"> </w:t>
      </w:r>
      <w:r w:rsidR="006B4D88" w:rsidRPr="00A7533D">
        <w:rPr>
          <w:rFonts w:hint="eastAsia"/>
        </w:rPr>
        <w:t>由外部集中供冷（热）系统提供的冷（热）量，应根据集中供冷（热）系统向该商业综合体</w:t>
      </w:r>
      <w:r w:rsidR="006B4D88">
        <w:rPr>
          <w:rFonts w:hint="eastAsia"/>
        </w:rPr>
        <w:t>提供的实际</w:t>
      </w:r>
      <w:r w:rsidR="006B4D88" w:rsidRPr="00A7533D">
        <w:rPr>
          <w:rFonts w:hint="eastAsia"/>
        </w:rPr>
        <w:t>供冷（热）量</w:t>
      </w:r>
      <w:r w:rsidR="006B4D88">
        <w:rPr>
          <w:rFonts w:hint="eastAsia"/>
        </w:rPr>
        <w:t>及</w:t>
      </w:r>
      <w:r w:rsidR="006B4D88" w:rsidRPr="00A7533D">
        <w:rPr>
          <w:rFonts w:hint="eastAsia"/>
        </w:rPr>
        <w:t>实际</w:t>
      </w:r>
      <w:r w:rsidR="006B4D88">
        <w:rPr>
          <w:rFonts w:hint="eastAsia"/>
        </w:rPr>
        <w:t>系统能效</w:t>
      </w:r>
      <w:r w:rsidR="006B4D88" w:rsidRPr="00A7533D">
        <w:rPr>
          <w:rFonts w:hint="eastAsia"/>
        </w:rPr>
        <w:t>折合的电消耗量，计入商业综合体能耗</w:t>
      </w:r>
      <w:r w:rsidR="006B4D88">
        <w:rPr>
          <w:rFonts w:hint="eastAsia"/>
        </w:rPr>
        <w:t>中</w:t>
      </w:r>
      <w:r w:rsidR="006B4D88" w:rsidRPr="00A7533D">
        <w:rPr>
          <w:rFonts w:hint="eastAsia"/>
        </w:rPr>
        <w:t>。</w:t>
      </w:r>
    </w:p>
    <w:p w14:paraId="564222F6" w14:textId="659A9A73" w:rsidR="00A85D58" w:rsidRPr="008C3F84" w:rsidRDefault="00CF77CE" w:rsidP="00CF77CE">
      <w:pPr>
        <w:ind w:firstLine="480"/>
        <w:rPr>
          <w:b/>
        </w:rPr>
      </w:pPr>
      <w:r>
        <w:rPr>
          <w:rFonts w:hint="eastAsia"/>
        </w:rPr>
        <w:t>4</w:t>
      </w:r>
      <w:r>
        <w:t>.2.2</w:t>
      </w:r>
      <w:r w:rsidR="00BC2ADC">
        <w:t xml:space="preserve">  </w:t>
      </w:r>
      <w:r w:rsidR="00A85D58">
        <w:rPr>
          <w:rFonts w:hint="eastAsia"/>
        </w:rPr>
        <w:t>商业综合体各业态的能耗统计应符合以下规定：</w:t>
      </w:r>
    </w:p>
    <w:p w14:paraId="4244163A" w14:textId="3E029606" w:rsidR="00A85D58" w:rsidRDefault="00CF77CE" w:rsidP="00CF77CE">
      <w:pPr>
        <w:ind w:firstLine="480"/>
        <w:rPr>
          <w:b/>
        </w:rPr>
      </w:pPr>
      <w:r>
        <w:rPr>
          <w:rFonts w:hint="eastAsia"/>
        </w:rPr>
        <w:t>1</w:t>
      </w:r>
      <w:r w:rsidR="00BC2ADC">
        <w:t xml:space="preserve">  </w:t>
      </w:r>
      <w:r w:rsidR="00A85D58" w:rsidRPr="00514FC1">
        <w:rPr>
          <w:rFonts w:hint="eastAsia"/>
        </w:rPr>
        <w:t>商业综合体</w:t>
      </w:r>
      <w:r w:rsidR="00A85D58">
        <w:rPr>
          <w:rFonts w:hint="eastAsia"/>
        </w:rPr>
        <w:t>各业态能耗、地下车库能耗、公共区域能耗</w:t>
      </w:r>
      <w:r w:rsidR="00A306F3">
        <w:rPr>
          <w:rFonts w:hint="eastAsia"/>
        </w:rPr>
        <w:t>（供暖、空调、照明、通风、电梯等）</w:t>
      </w:r>
      <w:r w:rsidR="00A85D58" w:rsidRPr="00514FC1">
        <w:rPr>
          <w:rFonts w:hint="eastAsia"/>
        </w:rPr>
        <w:t>应采用</w:t>
      </w:r>
      <w:r w:rsidR="00A85D58">
        <w:rPr>
          <w:rFonts w:hint="eastAsia"/>
        </w:rPr>
        <w:t>商业综合体用能单位的能耗统计数据，并辅以适当的现场核定。</w:t>
      </w:r>
    </w:p>
    <w:p w14:paraId="49158743" w14:textId="7E4640FB" w:rsidR="00594959" w:rsidRDefault="00CF77CE" w:rsidP="00CF77CE">
      <w:pPr>
        <w:ind w:firstLine="480"/>
        <w:rPr>
          <w:b/>
        </w:rPr>
      </w:pPr>
      <w:r>
        <w:t>2</w:t>
      </w:r>
      <w:r w:rsidR="00BC2ADC">
        <w:t xml:space="preserve">  </w:t>
      </w:r>
      <w:r w:rsidR="00594959" w:rsidRPr="00514FC1">
        <w:rPr>
          <w:rFonts w:hint="eastAsia"/>
        </w:rPr>
        <w:t>商业综合体</w:t>
      </w:r>
      <w:r w:rsidR="00594959">
        <w:rPr>
          <w:rFonts w:hint="eastAsia"/>
        </w:rPr>
        <w:t>各细分业态能耗</w:t>
      </w:r>
      <w:r w:rsidR="00594959" w:rsidRPr="00514FC1">
        <w:rPr>
          <w:rFonts w:hint="eastAsia"/>
        </w:rPr>
        <w:t>应采用</w:t>
      </w:r>
      <w:r w:rsidR="00594959">
        <w:rPr>
          <w:rFonts w:hint="eastAsia"/>
        </w:rPr>
        <w:t>商业综合体用能单位的能耗统计数据。</w:t>
      </w:r>
    </w:p>
    <w:p w14:paraId="59F2E729" w14:textId="05648418" w:rsidR="00A85D58" w:rsidRPr="008C3F84" w:rsidRDefault="00CF77CE" w:rsidP="00CF77CE">
      <w:pPr>
        <w:ind w:firstLine="480"/>
        <w:rPr>
          <w:b/>
        </w:rPr>
      </w:pPr>
      <w:r>
        <w:t>3</w:t>
      </w:r>
      <w:r w:rsidR="00BC2ADC">
        <w:t xml:space="preserve">  </w:t>
      </w:r>
      <w:r w:rsidR="00A85D58" w:rsidRPr="008C3F84">
        <w:rPr>
          <w:rFonts w:hint="eastAsia"/>
        </w:rPr>
        <w:t>商业综合体部分区域未开业使用时，商业综合体</w:t>
      </w:r>
      <w:r w:rsidR="00A85D58">
        <w:rPr>
          <w:rFonts w:hint="eastAsia"/>
        </w:rPr>
        <w:t>总能耗</w:t>
      </w:r>
      <w:r w:rsidR="00A85D58" w:rsidRPr="008C3F84">
        <w:rPr>
          <w:rFonts w:hint="eastAsia"/>
        </w:rPr>
        <w:t>应予核增，增加量计算公式为：未开业使用面积</w:t>
      </w:r>
      <w:r w:rsidR="00A16D54" w:rsidRPr="008C3F84">
        <w:rPr>
          <w:rFonts w:hint="eastAsia"/>
        </w:rPr>
        <w:t>×</w:t>
      </w:r>
      <w:r w:rsidR="00A85D58" w:rsidRPr="008C3F84">
        <w:rPr>
          <w:rFonts w:hint="eastAsia"/>
        </w:rPr>
        <w:t>该业态能耗指标</w:t>
      </w:r>
      <w:r w:rsidR="00880495">
        <w:rPr>
          <w:rFonts w:hint="eastAsia"/>
        </w:rPr>
        <w:t>。</w:t>
      </w:r>
    </w:p>
    <w:p w14:paraId="120B0BB1" w14:textId="0468EF40" w:rsidR="00E330EA" w:rsidRPr="0044077D" w:rsidRDefault="00CF77CE" w:rsidP="00CF77CE">
      <w:pPr>
        <w:ind w:firstLine="480"/>
        <w:rPr>
          <w:b/>
        </w:rPr>
      </w:pPr>
      <w:r>
        <w:rPr>
          <w:rFonts w:hint="eastAsia"/>
        </w:rPr>
        <w:t>4</w:t>
      </w:r>
      <w:r>
        <w:t>.2.3</w:t>
      </w:r>
      <w:r w:rsidR="00BC2ADC">
        <w:t xml:space="preserve">  </w:t>
      </w:r>
      <w:r w:rsidR="00594959" w:rsidRPr="006D6552">
        <w:rPr>
          <w:rFonts w:hint="eastAsia"/>
        </w:rPr>
        <w:t>商业综合体</w:t>
      </w:r>
      <w:r w:rsidR="00594959">
        <w:rPr>
          <w:rFonts w:hint="eastAsia"/>
        </w:rPr>
        <w:t>特定功能能耗的统计应符合以下规定</w:t>
      </w:r>
      <w:r w:rsidR="00E330EA" w:rsidRPr="0044077D">
        <w:rPr>
          <w:rFonts w:hint="eastAsia"/>
        </w:rPr>
        <w:t>:</w:t>
      </w:r>
    </w:p>
    <w:p w14:paraId="556B10C5" w14:textId="46EA03E2" w:rsidR="00E330EA" w:rsidRPr="0044077D" w:rsidRDefault="00880495" w:rsidP="007E3F12">
      <w:pPr>
        <w:ind w:firstLine="480"/>
        <w:rPr>
          <w:b/>
        </w:rPr>
      </w:pPr>
      <w:r>
        <w:rPr>
          <w:rFonts w:hint="eastAsia"/>
        </w:rPr>
        <w:t>1</w:t>
      </w:r>
      <w:r w:rsidR="00BC2ADC">
        <w:t xml:space="preserve">  </w:t>
      </w:r>
      <w:r w:rsidR="00E330EA" w:rsidRPr="0044077D">
        <w:rPr>
          <w:rFonts w:hint="eastAsia"/>
        </w:rPr>
        <w:t>应政府要求，用于市政展示</w:t>
      </w:r>
      <w:r w:rsidR="00E330EA">
        <w:rPr>
          <w:rFonts w:hint="eastAsia"/>
        </w:rPr>
        <w:t>的</w:t>
      </w:r>
      <w:r w:rsidR="00E330EA" w:rsidRPr="0044077D">
        <w:rPr>
          <w:rFonts w:hint="eastAsia"/>
        </w:rPr>
        <w:t>LED</w:t>
      </w:r>
      <w:r w:rsidR="00E330EA" w:rsidRPr="0044077D">
        <w:rPr>
          <w:rFonts w:hint="eastAsia"/>
        </w:rPr>
        <w:t>大屏用</w:t>
      </w:r>
      <w:r w:rsidR="00E330EA">
        <w:rPr>
          <w:rFonts w:hint="eastAsia"/>
        </w:rPr>
        <w:t>能</w:t>
      </w:r>
      <w:r w:rsidR="00E330EA" w:rsidRPr="0044077D">
        <w:rPr>
          <w:rFonts w:hint="eastAsia"/>
        </w:rPr>
        <w:t>，应从商业综合体能耗中扣除；</w:t>
      </w:r>
    </w:p>
    <w:p w14:paraId="076F339B" w14:textId="1735DD05" w:rsidR="00E330EA" w:rsidRPr="0044077D" w:rsidRDefault="00880495" w:rsidP="007E3F12">
      <w:pPr>
        <w:ind w:firstLine="480"/>
        <w:rPr>
          <w:b/>
        </w:rPr>
      </w:pPr>
      <w:r>
        <w:rPr>
          <w:rFonts w:hint="eastAsia"/>
        </w:rPr>
        <w:t>2</w:t>
      </w:r>
      <w:r w:rsidR="00BC2ADC">
        <w:t xml:space="preserve">  </w:t>
      </w:r>
      <w:r w:rsidR="00E330EA" w:rsidRPr="0044077D">
        <w:rPr>
          <w:rFonts w:hint="eastAsia"/>
        </w:rPr>
        <w:t>通过商业综合体的配电系统向公共充电桩提供的</w:t>
      </w:r>
      <w:r w:rsidR="00E330EA">
        <w:rPr>
          <w:rFonts w:hint="eastAsia"/>
        </w:rPr>
        <w:t>用能</w:t>
      </w:r>
      <w:r w:rsidR="00E330EA" w:rsidRPr="0044077D">
        <w:rPr>
          <w:rFonts w:hint="eastAsia"/>
        </w:rPr>
        <w:t>，应从商业综合体能耗中扣除；</w:t>
      </w:r>
    </w:p>
    <w:p w14:paraId="501B7336" w14:textId="52D5E8FF" w:rsidR="00E330EA" w:rsidRPr="003763FC" w:rsidRDefault="00880495" w:rsidP="007E3F12">
      <w:pPr>
        <w:ind w:firstLine="480"/>
        <w:rPr>
          <w:b/>
        </w:rPr>
      </w:pPr>
      <w:r>
        <w:rPr>
          <w:rFonts w:hint="eastAsia"/>
        </w:rPr>
        <w:t>3</w:t>
      </w:r>
      <w:r w:rsidR="00BC2ADC">
        <w:t xml:space="preserve">  </w:t>
      </w:r>
      <w:r w:rsidR="00E330EA">
        <w:rPr>
          <w:rFonts w:hint="eastAsia"/>
        </w:rPr>
        <w:t>由餐饮商铺独立开户的</w:t>
      </w:r>
      <w:r w:rsidR="00E330EA" w:rsidRPr="003763FC">
        <w:rPr>
          <w:rFonts w:hint="eastAsia"/>
        </w:rPr>
        <w:t>炊事燃气用能，不</w:t>
      </w:r>
      <w:r w:rsidR="00E330EA">
        <w:rPr>
          <w:rFonts w:hint="eastAsia"/>
        </w:rPr>
        <w:t>应</w:t>
      </w:r>
      <w:r w:rsidR="00E330EA" w:rsidRPr="003763FC">
        <w:rPr>
          <w:rFonts w:hint="eastAsia"/>
        </w:rPr>
        <w:t>计入商业综合体能耗中</w:t>
      </w:r>
      <w:r w:rsidR="00E330EA">
        <w:rPr>
          <w:rFonts w:hint="eastAsia"/>
        </w:rPr>
        <w:t>；</w:t>
      </w:r>
    </w:p>
    <w:p w14:paraId="481FB768" w14:textId="22496F56" w:rsidR="00E330EA" w:rsidRDefault="00880495" w:rsidP="007E3F12">
      <w:pPr>
        <w:ind w:firstLine="480"/>
        <w:rPr>
          <w:b/>
        </w:rPr>
      </w:pPr>
      <w:r>
        <w:rPr>
          <w:rFonts w:hint="eastAsia"/>
        </w:rPr>
        <w:t>4</w:t>
      </w:r>
      <w:r w:rsidR="00BC2ADC">
        <w:t xml:space="preserve">  </w:t>
      </w:r>
      <w:r w:rsidR="00E330EA" w:rsidRPr="003763FC">
        <w:rPr>
          <w:rFonts w:hint="eastAsia"/>
        </w:rPr>
        <w:t>安装在商业综合体上的太阳能光伏、光热、风电、地源热泵、空气源热泵热水等装置向商业综合体提供的</w:t>
      </w:r>
      <w:r w:rsidR="00E330EA">
        <w:rPr>
          <w:rFonts w:hint="eastAsia"/>
        </w:rPr>
        <w:t>可再生</w:t>
      </w:r>
      <w:r w:rsidR="00E330EA" w:rsidRPr="003763FC">
        <w:rPr>
          <w:rFonts w:hint="eastAsia"/>
        </w:rPr>
        <w:t>能源，不</w:t>
      </w:r>
      <w:r w:rsidR="00E330EA">
        <w:rPr>
          <w:rFonts w:hint="eastAsia"/>
        </w:rPr>
        <w:t>应</w:t>
      </w:r>
      <w:r w:rsidR="00E330EA" w:rsidRPr="003763FC">
        <w:rPr>
          <w:rFonts w:hint="eastAsia"/>
        </w:rPr>
        <w:t>计入商业综合体能耗中。</w:t>
      </w:r>
    </w:p>
    <w:p w14:paraId="03CBF3FE" w14:textId="7A331DE9" w:rsidR="00A85D58" w:rsidRPr="007E3F12" w:rsidRDefault="007E3F12" w:rsidP="007E3F12">
      <w:pPr>
        <w:pStyle w:val="2"/>
        <w:numPr>
          <w:ilvl w:val="0"/>
          <w:numId w:val="0"/>
        </w:numPr>
        <w:ind w:left="567"/>
        <w:jc w:val="center"/>
        <w:rPr>
          <w:bCs w:val="0"/>
        </w:rPr>
      </w:pPr>
      <w:bookmarkStart w:id="14" w:name="_Toc64983954"/>
      <w:r w:rsidRPr="007E3F12">
        <w:rPr>
          <w:rFonts w:hint="eastAsia"/>
          <w:bCs w:val="0"/>
          <w:sz w:val="24"/>
          <w:szCs w:val="24"/>
        </w:rPr>
        <w:t>4</w:t>
      </w:r>
      <w:r w:rsidRPr="007E3F12">
        <w:rPr>
          <w:bCs w:val="0"/>
          <w:sz w:val="24"/>
          <w:szCs w:val="24"/>
        </w:rPr>
        <w:t>.3</w:t>
      </w:r>
      <w:r w:rsidR="00BC2ADC">
        <w:rPr>
          <w:bCs w:val="0"/>
          <w:sz w:val="24"/>
          <w:szCs w:val="24"/>
        </w:rPr>
        <w:t xml:space="preserve">  </w:t>
      </w:r>
      <w:r w:rsidR="00A85D58" w:rsidRPr="007E3F12">
        <w:rPr>
          <w:rFonts w:hint="eastAsia"/>
          <w:bCs w:val="0"/>
          <w:sz w:val="24"/>
          <w:szCs w:val="24"/>
        </w:rPr>
        <w:t>能耗指标计算</w:t>
      </w:r>
      <w:bookmarkEnd w:id="14"/>
    </w:p>
    <w:p w14:paraId="425BF745" w14:textId="342D9367" w:rsidR="000F3CCC" w:rsidRDefault="007E3F12" w:rsidP="007E3F12">
      <w:pPr>
        <w:ind w:firstLine="480"/>
        <w:rPr>
          <w:b/>
        </w:rPr>
      </w:pPr>
      <w:bookmarkStart w:id="15" w:name="_Toc59727152"/>
      <w:r>
        <w:rPr>
          <w:rFonts w:hint="eastAsia"/>
        </w:rPr>
        <w:t>4</w:t>
      </w:r>
      <w:r>
        <w:t>.3.1</w:t>
      </w:r>
      <w:r w:rsidR="00BC2ADC">
        <w:t xml:space="preserve">  </w:t>
      </w:r>
      <w:r w:rsidR="005837A7" w:rsidRPr="000F3CCC">
        <w:rPr>
          <w:rFonts w:hint="eastAsia"/>
        </w:rPr>
        <w:t>商业综合体年综合能耗指标应按本指南表</w:t>
      </w:r>
      <w:r w:rsidR="00FB67D3">
        <w:rPr>
          <w:rFonts w:hint="eastAsia"/>
        </w:rPr>
        <w:t>3.0.</w:t>
      </w:r>
      <w:r w:rsidR="0024058E">
        <w:rPr>
          <w:rFonts w:hint="eastAsia"/>
        </w:rPr>
        <w:t>3</w:t>
      </w:r>
      <w:r w:rsidR="0024058E">
        <w:rPr>
          <w:rFonts w:hint="eastAsia"/>
        </w:rPr>
        <w:t>至表</w:t>
      </w:r>
      <w:r w:rsidR="0024058E">
        <w:rPr>
          <w:rFonts w:hint="eastAsia"/>
        </w:rPr>
        <w:t>3.0.4</w:t>
      </w:r>
      <w:r w:rsidR="005837A7" w:rsidRPr="000F3CCC">
        <w:rPr>
          <w:rFonts w:hint="eastAsia"/>
        </w:rPr>
        <w:t>所规定的各业态类型能耗指标与对应业态商业综合体面积比例进行加权平均</w:t>
      </w:r>
      <w:r w:rsidR="000F3CCC">
        <w:rPr>
          <w:rFonts w:hint="eastAsia"/>
        </w:rPr>
        <w:t>，按下式</w:t>
      </w:r>
      <w:r w:rsidR="005837A7" w:rsidRPr="000F3CCC">
        <w:rPr>
          <w:rFonts w:hint="eastAsia"/>
        </w:rPr>
        <w:t>计算确定</w:t>
      </w:r>
      <w:bookmarkEnd w:id="15"/>
      <w:r w:rsidR="00D22D92">
        <w:rPr>
          <w:rFonts w:hint="eastAsia"/>
        </w:rPr>
        <w:t>：</w:t>
      </w:r>
    </w:p>
    <w:p w14:paraId="5D29DB0C" w14:textId="354F70D5" w:rsidR="00BC0626" w:rsidRPr="000F3CCC" w:rsidRDefault="00022ED0" w:rsidP="00C271CF">
      <w:pPr>
        <w:ind w:firstLineChars="82" w:firstLine="198"/>
        <w:jc w:val="right"/>
      </w:pPr>
      <m:oMath>
        <m:r>
          <m:rPr>
            <m:sty m:val="bi"/>
          </m:rPr>
          <w:rPr>
            <w:rFonts w:ascii="Cambria Math" w:hAnsi="Cambria Math"/>
          </w:rPr>
          <m:t>X</m:t>
        </m:r>
        <m:r>
          <m:rPr>
            <m:sty m:val="p"/>
          </m:rPr>
          <w:rPr>
            <w:rFonts w:ascii="Cambria Math" w:hAnsi="Cambria Math"/>
          </w:rPr>
          <m:t>=</m:t>
        </m:r>
        <m:f>
          <m:fPr>
            <m:ctrlPr>
              <w:rPr>
                <w:rFonts w:ascii="Cambria Math" w:hAnsi="Cambria Math"/>
              </w:rPr>
            </m:ctrlPr>
          </m:fPr>
          <m:num>
            <m:nary>
              <m:naryPr>
                <m:chr m:val="∑"/>
                <m:limLoc m:val="undOvr"/>
                <m:ctrlPr>
                  <w:rPr>
                    <w:rFonts w:ascii="Cambria Math" w:hAnsi="Cambria Math"/>
                  </w:rPr>
                </m:ctrlPr>
              </m:naryPr>
              <m:sub>
                <m:r>
                  <m:rPr>
                    <m:sty m:val="b"/>
                  </m:rPr>
                  <w:rPr>
                    <w:rFonts w:ascii="Cambria Math" w:hAnsi="Cambria Math" w:hint="eastAsia"/>
                  </w:rPr>
                  <m:t>i</m:t>
                </m:r>
              </m:sub>
              <m:sup>
                <m:r>
                  <m:rPr>
                    <m:sty m:val="b"/>
                  </m:rPr>
                  <w:rPr>
                    <w:rFonts w:ascii="Cambria Math" w:hAnsi="Cambria Math" w:hint="eastAsia"/>
                  </w:rPr>
                  <m:t>6</m:t>
                </m:r>
              </m:sup>
              <m:e>
                <m:sSub>
                  <m:sSubPr>
                    <m:ctrlPr>
                      <w:rPr>
                        <w:rFonts w:ascii="Cambria Math" w:hAnsi="Cambria Math"/>
                      </w:rPr>
                    </m:ctrlPr>
                  </m:sSubPr>
                  <m:e>
                    <m:r>
                      <m:rPr>
                        <m:sty m:val="bi"/>
                      </m:rPr>
                      <w:rPr>
                        <w:rFonts w:ascii="Cambria Math" w:hAnsi="Cambria Math"/>
                      </w:rPr>
                      <m:t>X</m:t>
                    </m:r>
                  </m:e>
                  <m:sub>
                    <m:r>
                      <m:rPr>
                        <m:sty m:val="b"/>
                      </m:rPr>
                      <w:rPr>
                        <w:rFonts w:ascii="Cambria Math" w:hAnsi="Cambria Math" w:hint="eastAsia"/>
                      </w:rPr>
                      <m:t>i</m:t>
                    </m:r>
                  </m:sub>
                </m:sSub>
                <m:sSub>
                  <m:sSubPr>
                    <m:ctrlPr>
                      <w:rPr>
                        <w:rFonts w:ascii="Cambria Math" w:hAnsi="Cambria Math"/>
                        <w:i/>
                        <w:iCs/>
                      </w:rPr>
                    </m:ctrlPr>
                  </m:sSubPr>
                  <m:e>
                    <m:r>
                      <m:rPr>
                        <m:sty m:val="bi"/>
                      </m:rPr>
                      <w:rPr>
                        <w:rFonts w:ascii="Cambria Math" w:hAnsi="Cambria Math"/>
                      </w:rPr>
                      <m:t>A</m:t>
                    </m:r>
                  </m:e>
                  <m:sub>
                    <m:r>
                      <m:rPr>
                        <m:sty m:val="bi"/>
                      </m:rPr>
                      <w:rPr>
                        <w:rFonts w:ascii="Cambria Math" w:hAnsi="Cambria Math" w:hint="eastAsia"/>
                      </w:rPr>
                      <m:t>i</m:t>
                    </m:r>
                  </m:sub>
                </m:sSub>
              </m:e>
            </m:nary>
          </m:num>
          <m:den>
            <m:r>
              <m:rPr>
                <m:sty m:val="bi"/>
              </m:rPr>
              <w:rPr>
                <w:rFonts w:ascii="Cambria Math" w:hAnsi="Cambria Math"/>
              </w:rPr>
              <m:t>A</m:t>
            </m:r>
          </m:den>
        </m:f>
      </m:oMath>
      <w:r w:rsidR="00C271CF">
        <w:rPr>
          <w:rFonts w:hint="eastAsia"/>
        </w:rPr>
        <w:t xml:space="preserve"> </w:t>
      </w:r>
      <w:r w:rsidR="00C271CF">
        <w:t xml:space="preserve">                                          </w:t>
      </w:r>
      <w:r w:rsidR="00C271CF">
        <w:rPr>
          <w:rFonts w:hint="eastAsia"/>
        </w:rPr>
        <w:t>（</w:t>
      </w:r>
      <w:r w:rsidR="00C271CF">
        <w:rPr>
          <w:rFonts w:hint="eastAsia"/>
        </w:rPr>
        <w:t>4.3.1</w:t>
      </w:r>
      <w:r w:rsidR="00C271CF">
        <w:rPr>
          <w:rFonts w:hint="eastAsia"/>
        </w:rPr>
        <w:t>）</w:t>
      </w:r>
    </w:p>
    <w:p w14:paraId="4ABA1A45" w14:textId="31ED6846" w:rsidR="00C271CF" w:rsidRDefault="00BC0626" w:rsidP="00F32C3C">
      <w:pPr>
        <w:ind w:firstLineChars="0" w:firstLine="0"/>
      </w:pPr>
      <w:r w:rsidRPr="008C3F84">
        <w:rPr>
          <w:rFonts w:hint="eastAsia"/>
        </w:rPr>
        <w:t>式中：</w:t>
      </w:r>
      <m:oMath>
        <m:r>
          <w:rPr>
            <w:rFonts w:ascii="Cambria Math" w:hAnsi="Cambria Math"/>
          </w:rPr>
          <m:t>X</m:t>
        </m:r>
      </m:oMath>
      <w:r w:rsidRPr="008C3F84">
        <w:rPr>
          <w:rFonts w:hint="eastAsia"/>
        </w:rPr>
        <w:t>——商业综合体年综合能耗指标，</w:t>
      </w:r>
      <w:r w:rsidRPr="008C3F84">
        <w:t>kWh /(m</w:t>
      </w:r>
      <w:r w:rsidRPr="00913894">
        <w:rPr>
          <w:vertAlign w:val="superscript"/>
        </w:rPr>
        <w:t>2</w:t>
      </w:r>
      <w:r w:rsidRPr="008C3F84">
        <w:t>·a)</w:t>
      </w:r>
      <w:r w:rsidRPr="008C3F84">
        <w:rPr>
          <w:rFonts w:hint="eastAsia"/>
        </w:rPr>
        <w:t>；</w:t>
      </w:r>
    </w:p>
    <w:p w14:paraId="52719982" w14:textId="792EFCCE" w:rsidR="00BC0626" w:rsidRPr="008C3F84" w:rsidRDefault="006159F5" w:rsidP="00F32C3C">
      <w:pPr>
        <w:ind w:leftChars="300" w:left="1440" w:hangingChars="300" w:hanging="720"/>
      </w:pPr>
      <m:oMath>
        <m:sSub>
          <m:sSubPr>
            <m:ctrlPr>
              <w:rPr>
                <w:rFonts w:ascii="Cambria Math" w:hAnsi="Cambria Math"/>
              </w:rPr>
            </m:ctrlPr>
          </m:sSubPr>
          <m:e>
            <m:r>
              <w:rPr>
                <w:rFonts w:ascii="Cambria Math" w:hAnsi="Cambria Math"/>
              </w:rPr>
              <m:t>X</m:t>
            </m:r>
          </m:e>
          <m:sub>
            <m:r>
              <m:rPr>
                <m:sty m:val="p"/>
              </m:rPr>
              <w:rPr>
                <w:rFonts w:ascii="Cambria Math" w:hAnsi="Cambria Math" w:hint="eastAsia"/>
              </w:rPr>
              <m:t>i</m:t>
            </m:r>
          </m:sub>
        </m:sSub>
      </m:oMath>
      <w:r w:rsidR="00BC0626" w:rsidRPr="008C3F84">
        <w:rPr>
          <w:rFonts w:hint="eastAsia"/>
        </w:rPr>
        <w:t>——商业、超市、餐饮、娱乐、车库、公共区域、地下停车库业态的能耗指标，</w:t>
      </w:r>
      <w:r w:rsidR="00BC0626" w:rsidRPr="008C3F84">
        <w:t>kWh /(m</w:t>
      </w:r>
      <w:r w:rsidR="00BC0626" w:rsidRPr="00913894">
        <w:rPr>
          <w:vertAlign w:val="superscript"/>
        </w:rPr>
        <w:t>2</w:t>
      </w:r>
      <w:r w:rsidR="00BC0626" w:rsidRPr="008C3F84">
        <w:t>·a)</w:t>
      </w:r>
      <w:r w:rsidR="00BC0626" w:rsidRPr="008C3F84">
        <w:rPr>
          <w:rFonts w:hint="eastAsia"/>
        </w:rPr>
        <w:t>；</w:t>
      </w:r>
    </w:p>
    <w:p w14:paraId="6B1AF514" w14:textId="580524FF" w:rsidR="00BC0626" w:rsidRPr="008C3F84" w:rsidRDefault="006159F5" w:rsidP="00F32C3C">
      <w:pPr>
        <w:ind w:leftChars="300" w:left="1440" w:hangingChars="300" w:hanging="720"/>
        <w:rPr>
          <w:rFonts w:ascii="Cambria" w:hAnsi="Cambria"/>
          <w:bCs/>
          <w:kern w:val="2"/>
          <w:szCs w:val="24"/>
        </w:rPr>
      </w:pPr>
      <m:oMath>
        <m:sSub>
          <m:sSubPr>
            <m:ctrlPr>
              <w:rPr>
                <w:rFonts w:ascii="Cambria Math" w:hAnsi="Cambria Math"/>
                <w:bCs/>
                <w:kern w:val="2"/>
                <w:szCs w:val="24"/>
              </w:rPr>
            </m:ctrlPr>
          </m:sSubPr>
          <m:e>
            <m:r>
              <w:rPr>
                <w:rFonts w:ascii="Cambria Math" w:hAnsi="Cambria Math"/>
                <w:kern w:val="2"/>
                <w:szCs w:val="24"/>
              </w:rPr>
              <m:t>A</m:t>
            </m:r>
          </m:e>
          <m:sub>
            <m:r>
              <m:rPr>
                <m:sty m:val="p"/>
              </m:rPr>
              <w:rPr>
                <w:rFonts w:ascii="Cambria Math" w:hAnsi="Cambria Math" w:hint="eastAsia"/>
                <w:kern w:val="2"/>
                <w:szCs w:val="24"/>
              </w:rPr>
              <m:t>i</m:t>
            </m:r>
          </m:sub>
        </m:sSub>
      </m:oMath>
      <w:r w:rsidR="00BC0626" w:rsidRPr="008C3F84">
        <w:rPr>
          <w:rFonts w:ascii="Cambria" w:hAnsi="Cambria" w:hint="eastAsia"/>
          <w:bCs/>
          <w:kern w:val="2"/>
          <w:szCs w:val="24"/>
        </w:rPr>
        <w:t>——商业、超市、餐饮、娱乐、车库、公共区域、地下停车库业态的商业综合体面积</w:t>
      </w:r>
      <w:r w:rsidR="00BC0626" w:rsidRPr="008C3F84">
        <w:rPr>
          <w:rFonts w:ascii="Cambria" w:hAnsi="Cambria"/>
          <w:bCs/>
          <w:kern w:val="2"/>
          <w:szCs w:val="24"/>
        </w:rPr>
        <w:t xml:space="preserve"> </w:t>
      </w:r>
      <w:r w:rsidR="00BC0626" w:rsidRPr="008C3F84">
        <w:rPr>
          <w:rFonts w:ascii="Cambria" w:hAnsi="Cambria" w:hint="eastAsia"/>
          <w:bCs/>
          <w:kern w:val="2"/>
          <w:szCs w:val="24"/>
        </w:rPr>
        <w:t>，</w:t>
      </w:r>
      <w:r w:rsidR="00BC0626" w:rsidRPr="008C3F84">
        <w:rPr>
          <w:rFonts w:ascii="Cambria" w:hAnsi="Cambria"/>
          <w:bCs/>
          <w:kern w:val="2"/>
          <w:szCs w:val="24"/>
        </w:rPr>
        <w:t>m</w:t>
      </w:r>
      <w:r w:rsidR="00BC0626" w:rsidRPr="00913894">
        <w:rPr>
          <w:rFonts w:ascii="Cambria" w:hAnsi="Cambria"/>
          <w:bCs/>
          <w:kern w:val="2"/>
          <w:szCs w:val="24"/>
          <w:vertAlign w:val="superscript"/>
        </w:rPr>
        <w:t>2</w:t>
      </w:r>
      <w:r w:rsidR="00BC0626" w:rsidRPr="008C3F84">
        <w:rPr>
          <w:rFonts w:ascii="Cambria" w:hAnsi="Cambria" w:hint="eastAsia"/>
          <w:bCs/>
          <w:kern w:val="2"/>
          <w:szCs w:val="24"/>
        </w:rPr>
        <w:t>；</w:t>
      </w:r>
    </w:p>
    <w:p w14:paraId="0438ECD7" w14:textId="58C81E87" w:rsidR="00BC0626" w:rsidRDefault="00022ED0" w:rsidP="00F32C3C">
      <w:pPr>
        <w:ind w:leftChars="300" w:left="720" w:firstLineChars="0" w:firstLine="0"/>
      </w:pPr>
      <m:oMath>
        <m:r>
          <w:rPr>
            <w:rFonts w:ascii="Cambria Math" w:hAnsi="Cambria Math"/>
          </w:rPr>
          <m:t>A</m:t>
        </m:r>
      </m:oMath>
      <w:r w:rsidR="00BC0626" w:rsidRPr="008C3F84">
        <w:rPr>
          <w:rFonts w:hint="eastAsia"/>
        </w:rPr>
        <w:t>——总商业综合体面积</w:t>
      </w:r>
      <w:r w:rsidR="00BC0626" w:rsidRPr="008C3F84">
        <w:t xml:space="preserve"> </w:t>
      </w:r>
      <w:r w:rsidR="00BC0626" w:rsidRPr="008C3F84">
        <w:rPr>
          <w:rFonts w:hint="eastAsia"/>
        </w:rPr>
        <w:t>，</w:t>
      </w:r>
      <w:r w:rsidR="00BC0626" w:rsidRPr="008C3F84">
        <w:t>m</w:t>
      </w:r>
      <w:r w:rsidR="00BC0626" w:rsidRPr="007E3F12">
        <w:rPr>
          <w:vertAlign w:val="superscript"/>
        </w:rPr>
        <w:t>2</w:t>
      </w:r>
      <w:r w:rsidR="00BC0626" w:rsidRPr="008C3F84">
        <w:rPr>
          <w:rFonts w:hint="eastAsia"/>
        </w:rPr>
        <w:t>。</w:t>
      </w:r>
    </w:p>
    <w:p w14:paraId="16E2AF3A" w14:textId="515A61A5" w:rsidR="00204C59" w:rsidRPr="00A7533D" w:rsidRDefault="007E3F12" w:rsidP="007E3F12">
      <w:pPr>
        <w:ind w:firstLine="480"/>
        <w:rPr>
          <w:b/>
        </w:rPr>
      </w:pPr>
      <w:r>
        <w:rPr>
          <w:rFonts w:hint="eastAsia"/>
        </w:rPr>
        <w:t>4</w:t>
      </w:r>
      <w:r>
        <w:t>.3.2</w:t>
      </w:r>
      <w:r w:rsidR="00BC2ADC">
        <w:t xml:space="preserve">  </w:t>
      </w:r>
      <w:r w:rsidR="00204C59" w:rsidRPr="00A7533D">
        <w:rPr>
          <w:rFonts w:hint="eastAsia"/>
        </w:rPr>
        <w:t>商业综合体实际使用的除电力之外的</w:t>
      </w:r>
      <w:r w:rsidR="00935138">
        <w:rPr>
          <w:rFonts w:hint="eastAsia"/>
        </w:rPr>
        <w:t>其他</w:t>
      </w:r>
      <w:r w:rsidR="00204C59" w:rsidRPr="00A7533D">
        <w:rPr>
          <w:rFonts w:hint="eastAsia"/>
        </w:rPr>
        <w:t>能源</w:t>
      </w:r>
      <w:r w:rsidR="003A4B13">
        <w:rPr>
          <w:rFonts w:hint="eastAsia"/>
        </w:rPr>
        <w:t>对应的等效电可</w:t>
      </w:r>
      <w:r w:rsidR="00204C59" w:rsidRPr="00A7533D">
        <w:rPr>
          <w:rFonts w:hint="eastAsia"/>
        </w:rPr>
        <w:t>按</w:t>
      </w:r>
      <w:r w:rsidR="00F22494">
        <w:rPr>
          <w:rFonts w:hint="eastAsia"/>
        </w:rPr>
        <w:t>本指南</w:t>
      </w:r>
      <w:r w:rsidR="00ED7DE0">
        <w:rPr>
          <w:rFonts w:hint="eastAsia"/>
        </w:rPr>
        <w:t>附录</w:t>
      </w:r>
      <w:r w:rsidR="005E4196">
        <w:t>A</w:t>
      </w:r>
      <w:r w:rsidR="003A4B13">
        <w:rPr>
          <w:rFonts w:hint="eastAsia"/>
        </w:rPr>
        <w:t>取值</w:t>
      </w:r>
      <w:r w:rsidR="00204C59" w:rsidRPr="00A7533D">
        <w:rPr>
          <w:rFonts w:hint="eastAsia"/>
        </w:rPr>
        <w:t>。</w:t>
      </w:r>
    </w:p>
    <w:p w14:paraId="7923A802" w14:textId="77777777" w:rsidR="00D54F3C" w:rsidRPr="008C3F84" w:rsidRDefault="00D54F3C" w:rsidP="00BC0626">
      <w:pPr>
        <w:ind w:firstLine="480"/>
        <w:rPr>
          <w:rFonts w:ascii="Cambria" w:hAnsi="Cambria"/>
          <w:bCs/>
          <w:kern w:val="2"/>
          <w:szCs w:val="24"/>
        </w:rPr>
      </w:pPr>
    </w:p>
    <w:p w14:paraId="04BC52B7" w14:textId="73D9A794" w:rsidR="00BF6504" w:rsidRPr="007E3F12" w:rsidRDefault="007E3F12" w:rsidP="007E3F12">
      <w:pPr>
        <w:pStyle w:val="2"/>
        <w:numPr>
          <w:ilvl w:val="0"/>
          <w:numId w:val="0"/>
        </w:numPr>
        <w:ind w:left="425"/>
        <w:jc w:val="center"/>
      </w:pPr>
      <w:bookmarkStart w:id="16" w:name="_Toc64983955"/>
      <w:r>
        <w:rPr>
          <w:rFonts w:hint="eastAsia"/>
        </w:rPr>
        <w:t>5</w:t>
      </w:r>
      <w:r w:rsidR="00BC2ADC">
        <w:t xml:space="preserve">  </w:t>
      </w:r>
      <w:r w:rsidR="00BF6504" w:rsidRPr="007E3F12">
        <w:rPr>
          <w:rFonts w:hint="eastAsia"/>
        </w:rPr>
        <w:t>能耗指标修正</w:t>
      </w:r>
      <w:bookmarkEnd w:id="9"/>
      <w:bookmarkEnd w:id="16"/>
    </w:p>
    <w:p w14:paraId="47BDDE31" w14:textId="3C73FA38" w:rsidR="00BF6504" w:rsidRDefault="007E3F12" w:rsidP="007E3F12">
      <w:pPr>
        <w:ind w:firstLine="480"/>
        <w:rPr>
          <w:b/>
        </w:rPr>
      </w:pPr>
      <w:r>
        <w:rPr>
          <w:rFonts w:hint="eastAsia"/>
        </w:rPr>
        <w:t>5</w:t>
      </w:r>
      <w:r>
        <w:t>.0.1</w:t>
      </w:r>
      <w:r w:rsidR="00BC2ADC">
        <w:t xml:space="preserve">  </w:t>
      </w:r>
      <w:r w:rsidR="000F3CCC" w:rsidRPr="006D6552">
        <w:rPr>
          <w:rFonts w:hint="eastAsia"/>
        </w:rPr>
        <w:t>当商业综合体各业态实际使用时间与标准时间不一致时，应对能耗指标值</w:t>
      </w:r>
      <w:r w:rsidR="000F3CCC">
        <w:rPr>
          <w:rFonts w:hint="eastAsia"/>
        </w:rPr>
        <w:t>按</w:t>
      </w:r>
      <w:r w:rsidR="009A3A4C">
        <w:rPr>
          <w:rFonts w:hint="eastAsia"/>
        </w:rPr>
        <w:t>下列公式</w:t>
      </w:r>
      <w:r w:rsidR="000F3CCC" w:rsidRPr="006D6552">
        <w:rPr>
          <w:rFonts w:hint="eastAsia"/>
        </w:rPr>
        <w:t>进行修正</w:t>
      </w:r>
      <w:r w:rsidR="00E07A0F">
        <w:rPr>
          <w:rFonts w:hint="eastAsia"/>
        </w:rPr>
        <w:t>：</w:t>
      </w:r>
    </w:p>
    <w:p w14:paraId="5A01E1FB" w14:textId="50D6409C" w:rsidR="000F3CCC" w:rsidRPr="006D6552" w:rsidRDefault="006159F5" w:rsidP="004D74C6">
      <w:pPr>
        <w:ind w:firstLine="480"/>
        <w:jc w:val="right"/>
      </w:pPr>
      <m:oMath>
        <m:sSub>
          <m:sSubPr>
            <m:ctrlPr>
              <w:rPr>
                <w:rFonts w:ascii="Cambria Math" w:hAnsi="Cambria Math"/>
              </w:rPr>
            </m:ctrlPr>
          </m:sSubPr>
          <m:e>
            <m:r>
              <m:rPr>
                <m:sty m:val="bi"/>
              </m:rPr>
              <w:rPr>
                <w:rFonts w:ascii="Cambria Math" w:hAnsi="Cambria Math"/>
              </w:rPr>
              <m:t>E</m:t>
            </m:r>
          </m:e>
          <m:sub>
            <m:r>
              <m:rPr>
                <m:sty m:val="b"/>
              </m:rPr>
              <w:rPr>
                <w:rFonts w:ascii="Cambria Math" w:hAnsi="Cambria Math" w:hint="eastAsia"/>
              </w:rPr>
              <m:t>i0</m:t>
            </m:r>
          </m:sub>
        </m:sSub>
        <m:r>
          <m:rPr>
            <m:sty m:val="p"/>
          </m:rPr>
          <w:rPr>
            <w:rFonts w:ascii="Cambria Math" w:hAnsi="Cambria Math"/>
          </w:rPr>
          <m:t>=</m:t>
        </m:r>
        <m:sSub>
          <m:sSubPr>
            <m:ctrlPr>
              <w:rPr>
                <w:rFonts w:ascii="Cambria Math" w:hAnsi="Cambria Math"/>
              </w:rPr>
            </m:ctrlPr>
          </m:sSubPr>
          <m:e>
            <m:r>
              <m:rPr>
                <m:sty m:val="bi"/>
              </m:rPr>
              <w:rPr>
                <w:rFonts w:ascii="Cambria Math" w:hAnsi="Cambria Math"/>
              </w:rPr>
              <m:t>E</m:t>
            </m:r>
          </m:e>
          <m:sub>
            <m:r>
              <m:rPr>
                <m:sty m:val="b"/>
              </m:rPr>
              <w:rPr>
                <w:rFonts w:ascii="Cambria Math" w:hAnsi="Cambria Math" w:hint="eastAsia"/>
              </w:rPr>
              <m:t>i</m:t>
            </m:r>
          </m:sub>
        </m:sSub>
        <m:r>
          <m:rPr>
            <m:sty m:val="p"/>
          </m:rPr>
          <w:rPr>
            <w:rFonts w:ascii="Cambria Math" w:hAnsi="Cambria Math"/>
          </w:rPr>
          <m:t>∙</m:t>
        </m:r>
        <m:sSub>
          <m:sSubPr>
            <m:ctrlPr>
              <w:rPr>
                <w:rFonts w:ascii="Cambria Math" w:hAnsi="Cambria Math"/>
              </w:rPr>
            </m:ctrlPr>
          </m:sSubPr>
          <m:e>
            <m:r>
              <m:rPr>
                <m:sty m:val="bi"/>
              </m:rPr>
              <w:rPr>
                <w:rFonts w:ascii="Cambria Math" w:hAnsi="Cambria Math"/>
              </w:rPr>
              <m:t>γ</m:t>
            </m:r>
          </m:e>
          <m:sub>
            <m:r>
              <m:rPr>
                <m:sty m:val="b"/>
              </m:rPr>
              <w:rPr>
                <w:rFonts w:ascii="Cambria Math" w:hAnsi="Cambria Math" w:hint="eastAsia"/>
              </w:rPr>
              <m:t>i</m:t>
            </m:r>
          </m:sub>
        </m:sSub>
      </m:oMath>
      <w:r w:rsidR="00531C9E">
        <w:rPr>
          <w:rFonts w:hint="eastAsia"/>
        </w:rPr>
        <w:t xml:space="preserve"> </w:t>
      </w:r>
      <w:r w:rsidR="00531C9E">
        <w:t xml:space="preserve">                             </w:t>
      </w:r>
      <w:r w:rsidR="004D74C6">
        <w:t xml:space="preserve">                </w:t>
      </w:r>
      <w:r w:rsidR="00531C9E">
        <w:rPr>
          <w:rFonts w:hint="eastAsia"/>
        </w:rPr>
        <w:t>（</w:t>
      </w:r>
      <w:r w:rsidR="004D74C6">
        <w:rPr>
          <w:rFonts w:hint="eastAsia"/>
        </w:rPr>
        <w:t>5.0.1</w:t>
      </w:r>
      <w:r w:rsidR="00531C9E">
        <w:rPr>
          <w:rFonts w:hint="eastAsia"/>
        </w:rPr>
        <w:t>-1</w:t>
      </w:r>
      <w:r w:rsidR="00531C9E">
        <w:rPr>
          <w:rFonts w:hint="eastAsia"/>
        </w:rPr>
        <w:t>）</w:t>
      </w:r>
    </w:p>
    <w:p w14:paraId="15472E68" w14:textId="5C3499FA" w:rsidR="000F3CCC" w:rsidRDefault="006159F5" w:rsidP="004D74C6">
      <w:pPr>
        <w:ind w:firstLine="480"/>
        <w:jc w:val="right"/>
      </w:pPr>
      <m:oMath>
        <m:sSub>
          <m:sSubPr>
            <m:ctrlPr>
              <w:rPr>
                <w:rFonts w:ascii="Cambria Math" w:hAnsi="Cambria Math"/>
              </w:rPr>
            </m:ctrlPr>
          </m:sSubPr>
          <m:e>
            <m:r>
              <m:rPr>
                <m:sty m:val="bi"/>
              </m:rPr>
              <w:rPr>
                <w:rFonts w:ascii="Cambria Math" w:hAnsi="Cambria Math"/>
              </w:rPr>
              <m:t>γ</m:t>
            </m:r>
          </m:e>
          <m:sub>
            <m:r>
              <m:rPr>
                <m:sty m:val="b"/>
              </m:rPr>
              <w:rPr>
                <w:rFonts w:ascii="Cambria Math" w:hAnsi="Cambria Math" w:hint="eastAsia"/>
              </w:rPr>
              <m:t>i</m:t>
            </m:r>
          </m:sub>
        </m:sSub>
        <m:r>
          <m:rPr>
            <m:sty m:val="p"/>
          </m:rPr>
          <w:rPr>
            <w:rFonts w:ascii="Cambria Math" w:hAnsi="Cambria Math" w:hint="eastAsia"/>
          </w:rPr>
          <m:t>=</m:t>
        </m:r>
        <m:r>
          <m:rPr>
            <m:sty m:val="b"/>
          </m:rPr>
          <w:rPr>
            <w:rFonts w:ascii="Cambria Math" w:hAnsi="Cambria Math" w:hint="eastAsia"/>
          </w:rPr>
          <m:t>0</m:t>
        </m:r>
        <m:r>
          <m:rPr>
            <m:sty m:val="p"/>
          </m:rPr>
          <w:rPr>
            <w:rFonts w:ascii="Cambria Math" w:hAnsi="Cambria Math" w:hint="eastAsia"/>
          </w:rPr>
          <m:t>.</m:t>
        </m:r>
        <m:r>
          <m:rPr>
            <m:sty m:val="b"/>
          </m:rPr>
          <w:rPr>
            <w:rFonts w:ascii="Cambria Math" w:hAnsi="Cambria Math" w:hint="eastAsia"/>
          </w:rPr>
          <m:t>3</m:t>
        </m:r>
        <m:r>
          <m:rPr>
            <m:sty m:val="p"/>
          </m:rPr>
          <w:rPr>
            <w:rFonts w:ascii="Cambria Math" w:hAnsi="Cambria Math" w:hint="eastAsia"/>
          </w:rPr>
          <m:t>+</m:t>
        </m:r>
        <m:r>
          <m:rPr>
            <m:sty m:val="b"/>
          </m:rPr>
          <w:rPr>
            <w:rFonts w:ascii="Cambria Math" w:hAnsi="Cambria Math" w:hint="eastAsia"/>
          </w:rPr>
          <m:t>0</m:t>
        </m:r>
        <m:r>
          <m:rPr>
            <m:sty m:val="p"/>
          </m:rPr>
          <w:rPr>
            <w:rFonts w:ascii="Cambria Math" w:hAnsi="Cambria Math" w:hint="eastAsia"/>
          </w:rPr>
          <m:t>.</m:t>
        </m:r>
        <m:r>
          <m:rPr>
            <m:sty m:val="b"/>
          </m:rPr>
          <w:rPr>
            <w:rFonts w:ascii="Cambria Math" w:hAnsi="Cambria Math" w:hint="eastAsia"/>
          </w:rPr>
          <m:t>7</m:t>
        </m:r>
        <m:f>
          <m:fPr>
            <m:ctrlPr>
              <w:rPr>
                <w:rFonts w:ascii="Cambria Math" w:hAnsi="Cambria Math"/>
              </w:rPr>
            </m:ctrlPr>
          </m:fPr>
          <m:num>
            <m:sSub>
              <m:sSubPr>
                <m:ctrlPr>
                  <w:rPr>
                    <w:rFonts w:ascii="Cambria Math" w:hAnsi="Cambria Math"/>
                  </w:rPr>
                </m:ctrlPr>
              </m:sSubPr>
              <m:e>
                <m:r>
                  <m:rPr>
                    <m:sty m:val="bi"/>
                  </m:rPr>
                  <w:rPr>
                    <w:rFonts w:ascii="Cambria Math" w:hAnsi="Cambria Math"/>
                  </w:rPr>
                  <m:t>T</m:t>
                </m:r>
              </m:e>
              <m:sub>
                <m:r>
                  <m:rPr>
                    <m:sty m:val="b"/>
                  </m:rPr>
                  <w:rPr>
                    <w:rFonts w:ascii="Cambria Math" w:hAnsi="Cambria Math"/>
                  </w:rPr>
                  <m:t>i</m:t>
                </m:r>
              </m:sub>
            </m:sSub>
          </m:num>
          <m:den>
            <m:sSubSup>
              <m:sSubSupPr>
                <m:ctrlPr>
                  <w:rPr>
                    <w:rFonts w:ascii="Cambria Math" w:hAnsi="Cambria Math"/>
                  </w:rPr>
                </m:ctrlPr>
              </m:sSubSupPr>
              <m:e>
                <m:r>
                  <m:rPr>
                    <m:sty m:val="bi"/>
                  </m:rPr>
                  <w:rPr>
                    <w:rFonts w:ascii="Cambria Math" w:hAnsi="Cambria Math"/>
                  </w:rPr>
                  <m:t>T</m:t>
                </m:r>
              </m:e>
              <m:sub>
                <m:r>
                  <m:rPr>
                    <m:sty m:val="b"/>
                  </m:rPr>
                  <w:rPr>
                    <w:rFonts w:ascii="Cambria Math" w:hAnsi="Cambria Math" w:hint="eastAsia"/>
                  </w:rPr>
                  <m:t>i</m:t>
                </m:r>
              </m:sub>
              <m:sup>
                <m:r>
                  <m:rPr>
                    <m:sty m:val="b"/>
                  </m:rPr>
                  <w:rPr>
                    <w:rFonts w:ascii="Cambria Math" w:hAnsi="Cambria Math"/>
                  </w:rPr>
                  <m:t>0</m:t>
                </m:r>
              </m:sup>
            </m:sSubSup>
          </m:den>
        </m:f>
        <m:r>
          <m:rPr>
            <m:sty m:val="p"/>
          </m:rPr>
          <w:rPr>
            <w:rFonts w:ascii="Cambria Math" w:hAnsi="Cambria Math"/>
          </w:rPr>
          <m:t xml:space="preserve"> </m:t>
        </m:r>
      </m:oMath>
      <w:r w:rsidR="004D74C6">
        <w:rPr>
          <w:rFonts w:hint="eastAsia"/>
        </w:rPr>
        <w:t xml:space="preserve"> </w:t>
      </w:r>
      <w:r w:rsidR="004D74C6">
        <w:t xml:space="preserve">                                     </w:t>
      </w:r>
      <w:r w:rsidR="004D74C6">
        <w:rPr>
          <w:rFonts w:hint="eastAsia"/>
        </w:rPr>
        <w:t>（</w:t>
      </w:r>
      <w:r w:rsidR="004D74C6">
        <w:rPr>
          <w:rFonts w:hint="eastAsia"/>
        </w:rPr>
        <w:t>5.0.1-2</w:t>
      </w:r>
      <w:r w:rsidR="004D74C6">
        <w:rPr>
          <w:rFonts w:hint="eastAsia"/>
        </w:rPr>
        <w:t>）</w:t>
      </w:r>
    </w:p>
    <w:p w14:paraId="66CC058D" w14:textId="5806B99D" w:rsidR="000F3CCC" w:rsidRPr="006D6552" w:rsidRDefault="004D74C6" w:rsidP="004D74C6">
      <w:pPr>
        <w:ind w:firstLineChars="0" w:firstLine="0"/>
        <w:rPr>
          <w:b/>
        </w:rPr>
      </w:pPr>
      <w:r>
        <w:rPr>
          <w:rFonts w:hint="eastAsia"/>
        </w:rPr>
        <w:t>式中：</w:t>
      </w:r>
      <m:oMath>
        <m:sSub>
          <m:sSubPr>
            <m:ctrlPr>
              <w:rPr>
                <w:rFonts w:ascii="Cambria Math" w:hAnsi="Cambria Math"/>
              </w:rPr>
            </m:ctrlPr>
          </m:sSubPr>
          <m:e>
            <m:r>
              <m:rPr>
                <m:sty m:val="bi"/>
              </m:rPr>
              <w:rPr>
                <w:rFonts w:ascii="Cambria Math" w:hAnsi="Cambria Math"/>
              </w:rPr>
              <m:t>E</m:t>
            </m:r>
          </m:e>
          <m:sub>
            <m:r>
              <m:rPr>
                <m:sty m:val="b"/>
              </m:rPr>
              <w:rPr>
                <w:rFonts w:ascii="Cambria Math" w:hAnsi="Cambria Math" w:hint="eastAsia"/>
              </w:rPr>
              <m:t>i0</m:t>
            </m:r>
          </m:sub>
        </m:sSub>
      </m:oMath>
      <w:r w:rsidR="000F3CCC" w:rsidRPr="006D6552">
        <w:rPr>
          <w:rFonts w:hint="eastAsia"/>
        </w:rPr>
        <w:t>—商业综合体不同业态能耗指标修正值</w:t>
      </w:r>
    </w:p>
    <w:p w14:paraId="3BFDCDC9" w14:textId="7A8CAC82" w:rsidR="000F3CCC" w:rsidRPr="006D6552" w:rsidRDefault="006159F5" w:rsidP="004D74C6">
      <w:pPr>
        <w:ind w:firstLineChars="300" w:firstLine="720"/>
        <w:rPr>
          <w:b/>
        </w:rPr>
      </w:pPr>
      <m:oMath>
        <m:sSub>
          <m:sSubPr>
            <m:ctrlPr>
              <w:rPr>
                <w:rFonts w:ascii="Cambria Math" w:hAnsi="Cambria Math"/>
              </w:rPr>
            </m:ctrlPr>
          </m:sSubPr>
          <m:e>
            <m:r>
              <m:rPr>
                <m:sty m:val="bi"/>
              </m:rPr>
              <w:rPr>
                <w:rFonts w:ascii="Cambria Math" w:hAnsi="Cambria Math"/>
              </w:rPr>
              <m:t>E</m:t>
            </m:r>
          </m:e>
          <m:sub>
            <m:r>
              <m:rPr>
                <m:sty m:val="b"/>
              </m:rPr>
              <w:rPr>
                <w:rFonts w:ascii="Cambria Math" w:hAnsi="Cambria Math" w:hint="eastAsia"/>
              </w:rPr>
              <m:t>i</m:t>
            </m:r>
          </m:sub>
        </m:sSub>
      </m:oMath>
      <w:r w:rsidR="000F3CCC" w:rsidRPr="006D6552">
        <w:rPr>
          <w:rFonts w:hint="eastAsia"/>
        </w:rPr>
        <w:t>—商业综合体不同业态能耗指标值；</w:t>
      </w:r>
    </w:p>
    <w:p w14:paraId="12CC7083" w14:textId="2C5F2DF5" w:rsidR="000F3CCC" w:rsidRPr="006D6552" w:rsidRDefault="006159F5" w:rsidP="004D74C6">
      <w:pPr>
        <w:ind w:firstLineChars="300" w:firstLine="720"/>
        <w:rPr>
          <w:b/>
        </w:rPr>
      </w:pPr>
      <m:oMath>
        <m:sSub>
          <m:sSubPr>
            <m:ctrlPr>
              <w:rPr>
                <w:rFonts w:ascii="Cambria Math" w:hAnsi="Cambria Math"/>
              </w:rPr>
            </m:ctrlPr>
          </m:sSubPr>
          <m:e>
            <m:r>
              <m:rPr>
                <m:sty m:val="bi"/>
              </m:rPr>
              <w:rPr>
                <w:rFonts w:ascii="Cambria Math" w:hAnsi="Cambria Math"/>
              </w:rPr>
              <m:t>γ</m:t>
            </m:r>
          </m:e>
          <m:sub>
            <m:r>
              <m:rPr>
                <m:sty m:val="b"/>
              </m:rPr>
              <w:rPr>
                <w:rFonts w:ascii="Cambria Math" w:hAnsi="Cambria Math" w:hint="eastAsia"/>
              </w:rPr>
              <m:t>i</m:t>
            </m:r>
          </m:sub>
        </m:sSub>
      </m:oMath>
      <w:r w:rsidR="000F3CCC" w:rsidRPr="006D6552">
        <w:rPr>
          <w:rFonts w:hint="eastAsia"/>
        </w:rPr>
        <w:t xml:space="preserve"> </w:t>
      </w:r>
      <w:r w:rsidR="000F3CCC" w:rsidRPr="006D6552">
        <w:rPr>
          <w:rFonts w:hint="eastAsia"/>
        </w:rPr>
        <w:t>—商业综合体</w:t>
      </w:r>
      <w:r w:rsidR="000F3CCC">
        <w:rPr>
          <w:rFonts w:hint="eastAsia"/>
        </w:rPr>
        <w:t>各</w:t>
      </w:r>
      <w:r w:rsidR="000F3CCC" w:rsidRPr="006D6552">
        <w:rPr>
          <w:rFonts w:hint="eastAsia"/>
        </w:rPr>
        <w:t>业态使用时间修正系数；</w:t>
      </w:r>
    </w:p>
    <w:p w14:paraId="480518EC" w14:textId="00604740" w:rsidR="000F3CCC" w:rsidRPr="006D6552" w:rsidRDefault="006159F5" w:rsidP="004D74C6">
      <w:pPr>
        <w:ind w:firstLineChars="300" w:firstLine="720"/>
        <w:rPr>
          <w:b/>
        </w:rPr>
      </w:pPr>
      <m:oMath>
        <m:sSub>
          <m:sSubPr>
            <m:ctrlPr>
              <w:rPr>
                <w:rFonts w:ascii="Cambria Math" w:hAnsi="Cambria Math"/>
              </w:rPr>
            </m:ctrlPr>
          </m:sSubPr>
          <m:e>
            <m:r>
              <m:rPr>
                <m:sty m:val="bi"/>
              </m:rPr>
              <w:rPr>
                <w:rFonts w:ascii="Cambria Math" w:hAnsi="Cambria Math"/>
              </w:rPr>
              <m:t>T</m:t>
            </m:r>
          </m:e>
          <m:sub>
            <m:r>
              <m:rPr>
                <m:sty m:val="b"/>
              </m:rPr>
              <w:rPr>
                <w:rFonts w:ascii="Cambria Math" w:hAnsi="Cambria Math"/>
              </w:rPr>
              <m:t>i</m:t>
            </m:r>
          </m:sub>
        </m:sSub>
      </m:oMath>
      <w:r w:rsidR="000F3CCC" w:rsidRPr="006D6552">
        <w:rPr>
          <w:rFonts w:hint="eastAsia"/>
        </w:rPr>
        <w:t>—商业综合体</w:t>
      </w:r>
      <w:r w:rsidR="000F3CCC">
        <w:rPr>
          <w:rFonts w:hint="eastAsia"/>
        </w:rPr>
        <w:t>各</w:t>
      </w:r>
      <w:r w:rsidR="000F3CCC" w:rsidRPr="006D6552">
        <w:rPr>
          <w:rFonts w:hint="eastAsia"/>
        </w:rPr>
        <w:t>业态年实际使用时间（</w:t>
      </w:r>
      <w:r w:rsidR="000F3CCC" w:rsidRPr="006D6552">
        <w:rPr>
          <w:rFonts w:hint="eastAsia"/>
        </w:rPr>
        <w:t>h/a</w:t>
      </w:r>
      <w:r w:rsidR="000F3CCC" w:rsidRPr="006D6552">
        <w:rPr>
          <w:rFonts w:hint="eastAsia"/>
        </w:rPr>
        <w:t>）；</w:t>
      </w:r>
    </w:p>
    <w:p w14:paraId="0699EC95" w14:textId="195A5C98" w:rsidR="000F3CCC" w:rsidRPr="006D6552" w:rsidRDefault="006159F5" w:rsidP="004D74C6">
      <w:pPr>
        <w:ind w:firstLineChars="300" w:firstLine="720"/>
        <w:rPr>
          <w:b/>
        </w:rPr>
      </w:pPr>
      <m:oMath>
        <m:sSubSup>
          <m:sSubSupPr>
            <m:ctrlPr>
              <w:rPr>
                <w:rFonts w:ascii="Cambria Math" w:hAnsi="Cambria Math"/>
              </w:rPr>
            </m:ctrlPr>
          </m:sSubSupPr>
          <m:e>
            <m:r>
              <m:rPr>
                <m:sty m:val="bi"/>
              </m:rPr>
              <w:rPr>
                <w:rFonts w:ascii="Cambria Math" w:hAnsi="Cambria Math"/>
              </w:rPr>
              <m:t>T</m:t>
            </m:r>
          </m:e>
          <m:sub>
            <m:r>
              <m:rPr>
                <m:sty m:val="b"/>
              </m:rPr>
              <w:rPr>
                <w:rFonts w:ascii="Cambria Math" w:hAnsi="Cambria Math" w:hint="eastAsia"/>
              </w:rPr>
              <m:t>i</m:t>
            </m:r>
          </m:sub>
          <m:sup>
            <m:r>
              <m:rPr>
                <m:sty m:val="b"/>
              </m:rPr>
              <w:rPr>
                <w:rFonts w:ascii="Cambria Math" w:hAnsi="Cambria Math"/>
              </w:rPr>
              <m:t>0</m:t>
            </m:r>
          </m:sup>
        </m:sSubSup>
      </m:oMath>
      <w:r w:rsidR="000F3CCC" w:rsidRPr="006D6552">
        <w:rPr>
          <w:rFonts w:hint="eastAsia"/>
        </w:rPr>
        <w:t>—商业综合体</w:t>
      </w:r>
      <w:r w:rsidR="000F3CCC">
        <w:rPr>
          <w:rFonts w:hint="eastAsia"/>
        </w:rPr>
        <w:t>各</w:t>
      </w:r>
      <w:r w:rsidR="000F3CCC" w:rsidRPr="006D6552">
        <w:rPr>
          <w:rFonts w:hint="eastAsia"/>
        </w:rPr>
        <w:t>业态年使用时间标准值（</w:t>
      </w:r>
      <w:r w:rsidR="000F3CCC" w:rsidRPr="006D6552">
        <w:rPr>
          <w:rFonts w:hint="eastAsia"/>
        </w:rPr>
        <w:t>h/a</w:t>
      </w:r>
      <w:r w:rsidR="000F3CCC" w:rsidRPr="006D6552">
        <w:rPr>
          <w:rFonts w:hint="eastAsia"/>
        </w:rPr>
        <w:t>）。</w:t>
      </w:r>
      <w:r w:rsidR="000F3CCC">
        <w:rPr>
          <w:rFonts w:hint="eastAsia"/>
        </w:rPr>
        <w:t>按</w:t>
      </w:r>
      <w:r w:rsidR="000F3CCC" w:rsidRPr="000F3CCC">
        <w:rPr>
          <w:rFonts w:hint="eastAsia"/>
        </w:rPr>
        <w:t>表</w:t>
      </w:r>
      <w:r w:rsidR="00BC2ADC">
        <w:rPr>
          <w:rFonts w:hint="eastAsia"/>
        </w:rPr>
        <w:t>5</w:t>
      </w:r>
      <w:r w:rsidR="000F3CCC" w:rsidRPr="000F3CCC">
        <w:rPr>
          <w:rFonts w:hint="eastAsia"/>
        </w:rPr>
        <w:t>.</w:t>
      </w:r>
      <w:r w:rsidR="00BC2ADC">
        <w:rPr>
          <w:rFonts w:hint="eastAsia"/>
        </w:rPr>
        <w:t>0</w:t>
      </w:r>
      <w:r w:rsidR="000F3CCC" w:rsidRPr="000F3CCC">
        <w:rPr>
          <w:rFonts w:hint="eastAsia"/>
        </w:rPr>
        <w:t>.1</w:t>
      </w:r>
      <w:r w:rsidR="00096E52">
        <w:rPr>
          <w:rFonts w:hint="eastAsia"/>
        </w:rPr>
        <w:t>取值</w:t>
      </w:r>
      <w:r w:rsidR="000F3CCC" w:rsidRPr="000F3CCC">
        <w:rPr>
          <w:rFonts w:hint="eastAsia"/>
        </w:rPr>
        <w:t>。</w:t>
      </w:r>
    </w:p>
    <w:p w14:paraId="21404150" w14:textId="77777777" w:rsidR="00D54F3C" w:rsidRDefault="00D54F3C" w:rsidP="000F3CCC">
      <w:pPr>
        <w:ind w:firstLine="480"/>
        <w:jc w:val="center"/>
      </w:pPr>
    </w:p>
    <w:p w14:paraId="5A15B13F" w14:textId="6714BA69" w:rsidR="000F3CCC" w:rsidRPr="000F3CCC" w:rsidRDefault="000F3CCC" w:rsidP="000F3CCC">
      <w:pPr>
        <w:ind w:firstLine="480"/>
        <w:jc w:val="center"/>
      </w:pPr>
      <w:r>
        <w:rPr>
          <w:rFonts w:hint="eastAsia"/>
        </w:rPr>
        <w:t>表</w:t>
      </w:r>
      <w:r w:rsidR="00BC2ADC">
        <w:rPr>
          <w:rFonts w:hint="eastAsia"/>
        </w:rPr>
        <w:t>5</w:t>
      </w:r>
      <w:r>
        <w:rPr>
          <w:rFonts w:hint="eastAsia"/>
        </w:rPr>
        <w:t>.</w:t>
      </w:r>
      <w:r w:rsidR="00BC2ADC">
        <w:rPr>
          <w:rFonts w:hint="eastAsia"/>
        </w:rPr>
        <w:t>0</w:t>
      </w:r>
      <w:r>
        <w:rPr>
          <w:rFonts w:hint="eastAsia"/>
        </w:rPr>
        <w:t>.1</w:t>
      </w:r>
      <w:r>
        <w:rPr>
          <w:rFonts w:hint="eastAsia"/>
        </w:rPr>
        <w:t>商业综合体各业态</w:t>
      </w:r>
      <w:r w:rsidR="00096E52" w:rsidRPr="00096E52">
        <w:rPr>
          <w:rFonts w:hint="eastAsia"/>
        </w:rPr>
        <w:t>年使用时间标准值（</w:t>
      </w:r>
      <w:r w:rsidR="00096E52" w:rsidRPr="00096E52">
        <w:rPr>
          <w:rFonts w:hint="eastAsia"/>
        </w:rPr>
        <w:t>h/a</w:t>
      </w:r>
      <w:r w:rsidR="00096E52" w:rsidRPr="00096E52">
        <w:rPr>
          <w:rFonts w:hint="eastAsia"/>
        </w:rPr>
        <w:t>）</w:t>
      </w:r>
    </w:p>
    <w:tbl>
      <w:tblPr>
        <w:tblStyle w:val="af1"/>
        <w:tblW w:w="8500" w:type="dxa"/>
        <w:tblLook w:val="04A0" w:firstRow="1" w:lastRow="0" w:firstColumn="1" w:lastColumn="0" w:noHBand="0" w:noVBand="1"/>
      </w:tblPr>
      <w:tblGrid>
        <w:gridCol w:w="1253"/>
        <w:gridCol w:w="1221"/>
        <w:gridCol w:w="1141"/>
        <w:gridCol w:w="1221"/>
        <w:gridCol w:w="881"/>
        <w:gridCol w:w="1206"/>
        <w:gridCol w:w="1577"/>
      </w:tblGrid>
      <w:tr w:rsidR="0012330B" w:rsidRPr="0012330B" w14:paraId="6E5944EA" w14:textId="77777777" w:rsidTr="009C35E5">
        <w:trPr>
          <w:trHeight w:val="280"/>
        </w:trPr>
        <w:tc>
          <w:tcPr>
            <w:tcW w:w="1253" w:type="dxa"/>
            <w:noWrap/>
          </w:tcPr>
          <w:p w14:paraId="0D3DA2AB" w14:textId="77777777" w:rsidR="0012330B" w:rsidRPr="00594959" w:rsidRDefault="0012330B" w:rsidP="00003B30">
            <w:pPr>
              <w:ind w:firstLineChars="0" w:firstLine="0"/>
              <w:jc w:val="center"/>
            </w:pPr>
            <w:r w:rsidRPr="00594959">
              <w:rPr>
                <w:rFonts w:hint="eastAsia"/>
              </w:rPr>
              <w:t>业态</w:t>
            </w:r>
          </w:p>
        </w:tc>
        <w:tc>
          <w:tcPr>
            <w:tcW w:w="1221" w:type="dxa"/>
            <w:noWrap/>
          </w:tcPr>
          <w:p w14:paraId="1096395D" w14:textId="77777777" w:rsidR="0012330B" w:rsidRPr="00594959" w:rsidRDefault="0012330B" w:rsidP="00003B30">
            <w:pPr>
              <w:ind w:firstLineChars="0" w:firstLine="0"/>
              <w:jc w:val="center"/>
            </w:pPr>
            <w:r w:rsidRPr="00594959">
              <w:rPr>
                <w:rFonts w:hint="eastAsia"/>
              </w:rPr>
              <w:t>商铺</w:t>
            </w:r>
          </w:p>
        </w:tc>
        <w:tc>
          <w:tcPr>
            <w:tcW w:w="1141" w:type="dxa"/>
          </w:tcPr>
          <w:p w14:paraId="6E2363F2" w14:textId="77777777" w:rsidR="0012330B" w:rsidRPr="00594959" w:rsidRDefault="0012330B" w:rsidP="00003B30">
            <w:pPr>
              <w:ind w:firstLineChars="0" w:firstLine="0"/>
              <w:jc w:val="center"/>
            </w:pPr>
            <w:r w:rsidRPr="00594959">
              <w:rPr>
                <w:rFonts w:hint="eastAsia"/>
              </w:rPr>
              <w:t>超市</w:t>
            </w:r>
          </w:p>
        </w:tc>
        <w:tc>
          <w:tcPr>
            <w:tcW w:w="1221" w:type="dxa"/>
            <w:noWrap/>
          </w:tcPr>
          <w:p w14:paraId="5EBE3FD6" w14:textId="77777777" w:rsidR="0012330B" w:rsidRPr="00594959" w:rsidRDefault="0012330B" w:rsidP="00003B30">
            <w:pPr>
              <w:ind w:firstLineChars="0" w:firstLine="0"/>
              <w:jc w:val="center"/>
            </w:pPr>
            <w:r w:rsidRPr="00594959">
              <w:rPr>
                <w:rFonts w:hint="eastAsia"/>
              </w:rPr>
              <w:t>餐饮</w:t>
            </w:r>
          </w:p>
        </w:tc>
        <w:tc>
          <w:tcPr>
            <w:tcW w:w="881" w:type="dxa"/>
            <w:noWrap/>
          </w:tcPr>
          <w:p w14:paraId="43A3D793" w14:textId="77777777" w:rsidR="0012330B" w:rsidRPr="00594959" w:rsidRDefault="0012330B" w:rsidP="00003B30">
            <w:pPr>
              <w:ind w:firstLineChars="0" w:firstLine="0"/>
              <w:jc w:val="center"/>
            </w:pPr>
            <w:r w:rsidRPr="00594959">
              <w:rPr>
                <w:rFonts w:hint="eastAsia"/>
              </w:rPr>
              <w:t>娱乐</w:t>
            </w:r>
          </w:p>
        </w:tc>
        <w:tc>
          <w:tcPr>
            <w:tcW w:w="1206" w:type="dxa"/>
          </w:tcPr>
          <w:p w14:paraId="7F91EC47" w14:textId="77777777" w:rsidR="0012330B" w:rsidRPr="00594959" w:rsidRDefault="0012330B" w:rsidP="00003B30">
            <w:pPr>
              <w:ind w:firstLineChars="0" w:firstLine="0"/>
              <w:jc w:val="center"/>
            </w:pPr>
            <w:r w:rsidRPr="00594959">
              <w:rPr>
                <w:rFonts w:hint="eastAsia"/>
              </w:rPr>
              <w:t>公共区域</w:t>
            </w:r>
          </w:p>
        </w:tc>
        <w:tc>
          <w:tcPr>
            <w:tcW w:w="1577" w:type="dxa"/>
          </w:tcPr>
          <w:p w14:paraId="1C2263BF" w14:textId="77777777" w:rsidR="0012330B" w:rsidRPr="00594959" w:rsidRDefault="0012330B" w:rsidP="00003B30">
            <w:pPr>
              <w:ind w:firstLineChars="0" w:firstLine="0"/>
              <w:jc w:val="center"/>
            </w:pPr>
            <w:r w:rsidRPr="00594959">
              <w:rPr>
                <w:rFonts w:hint="eastAsia"/>
              </w:rPr>
              <w:t>地下停车库</w:t>
            </w:r>
          </w:p>
        </w:tc>
      </w:tr>
      <w:tr w:rsidR="0012330B" w:rsidRPr="0012330B" w14:paraId="1BCCB4AA" w14:textId="77777777" w:rsidTr="009C35E5">
        <w:trPr>
          <w:trHeight w:val="280"/>
        </w:trPr>
        <w:tc>
          <w:tcPr>
            <w:tcW w:w="1253" w:type="dxa"/>
            <w:noWrap/>
          </w:tcPr>
          <w:p w14:paraId="71B5BD7D" w14:textId="70BC4E92" w:rsidR="0012330B" w:rsidRPr="00594959" w:rsidRDefault="006159F5" w:rsidP="00096E52">
            <w:pPr>
              <w:ind w:firstLineChars="0" w:firstLine="0"/>
              <w:jc w:val="center"/>
            </w:pPr>
            <m:oMathPara>
              <m:oMath>
                <m:sSubSup>
                  <m:sSubSupPr>
                    <m:ctrlPr>
                      <w:rPr>
                        <w:rFonts w:ascii="Cambria Math" w:hAnsi="Cambria Math"/>
                      </w:rPr>
                    </m:ctrlPr>
                  </m:sSubSupPr>
                  <m:e>
                    <m:r>
                      <w:rPr>
                        <w:rFonts w:ascii="Cambria Math" w:hAnsi="Cambria Math"/>
                      </w:rPr>
                      <m:t>T</m:t>
                    </m:r>
                  </m:e>
                  <m:sub>
                    <m:r>
                      <m:rPr>
                        <m:sty m:val="p"/>
                      </m:rPr>
                      <w:rPr>
                        <w:rFonts w:ascii="Cambria Math" w:hAnsi="Cambria Math" w:hint="eastAsia"/>
                      </w:rPr>
                      <m:t>i</m:t>
                    </m:r>
                  </m:sub>
                  <m:sup>
                    <m:r>
                      <m:rPr>
                        <m:sty m:val="p"/>
                      </m:rPr>
                      <w:rPr>
                        <w:rFonts w:ascii="Cambria Math" w:hAnsi="Cambria Math"/>
                      </w:rPr>
                      <m:t>0</m:t>
                    </m:r>
                  </m:sup>
                </m:sSubSup>
              </m:oMath>
            </m:oMathPara>
          </w:p>
        </w:tc>
        <w:tc>
          <w:tcPr>
            <w:tcW w:w="1221" w:type="dxa"/>
            <w:noWrap/>
          </w:tcPr>
          <w:p w14:paraId="6433679C" w14:textId="77777777" w:rsidR="0012330B" w:rsidRPr="00594959" w:rsidRDefault="0012330B" w:rsidP="00003B30">
            <w:pPr>
              <w:ind w:firstLineChars="0" w:firstLine="0"/>
              <w:jc w:val="center"/>
            </w:pPr>
            <w:r w:rsidRPr="00594959">
              <w:rPr>
                <w:rFonts w:hint="eastAsia"/>
              </w:rPr>
              <w:t>4380</w:t>
            </w:r>
          </w:p>
        </w:tc>
        <w:tc>
          <w:tcPr>
            <w:tcW w:w="1141" w:type="dxa"/>
          </w:tcPr>
          <w:p w14:paraId="231AA79C" w14:textId="77777777" w:rsidR="0012330B" w:rsidRPr="00594959" w:rsidRDefault="0012330B" w:rsidP="00003B30">
            <w:pPr>
              <w:ind w:firstLineChars="0" w:firstLine="0"/>
              <w:jc w:val="center"/>
            </w:pPr>
            <w:r w:rsidRPr="00594959">
              <w:rPr>
                <w:rFonts w:hint="eastAsia"/>
              </w:rPr>
              <w:t>4380</w:t>
            </w:r>
          </w:p>
        </w:tc>
        <w:tc>
          <w:tcPr>
            <w:tcW w:w="1221" w:type="dxa"/>
            <w:noWrap/>
          </w:tcPr>
          <w:p w14:paraId="509CE0A4" w14:textId="77777777" w:rsidR="0012330B" w:rsidRPr="00594959" w:rsidRDefault="0012330B" w:rsidP="00003B30">
            <w:pPr>
              <w:ind w:firstLineChars="0" w:firstLine="0"/>
              <w:jc w:val="center"/>
            </w:pPr>
            <w:r w:rsidRPr="00594959">
              <w:rPr>
                <w:rFonts w:hint="eastAsia"/>
              </w:rPr>
              <w:t>4600</w:t>
            </w:r>
          </w:p>
        </w:tc>
        <w:tc>
          <w:tcPr>
            <w:tcW w:w="881" w:type="dxa"/>
            <w:noWrap/>
          </w:tcPr>
          <w:p w14:paraId="2D62CCAB" w14:textId="77777777" w:rsidR="0012330B" w:rsidRPr="00594959" w:rsidRDefault="0012330B" w:rsidP="00003B30">
            <w:pPr>
              <w:ind w:firstLineChars="0" w:firstLine="0"/>
              <w:jc w:val="center"/>
            </w:pPr>
            <w:r w:rsidRPr="00594959">
              <w:rPr>
                <w:rFonts w:hint="eastAsia"/>
              </w:rPr>
              <w:t>5110</w:t>
            </w:r>
          </w:p>
        </w:tc>
        <w:tc>
          <w:tcPr>
            <w:tcW w:w="1206" w:type="dxa"/>
          </w:tcPr>
          <w:p w14:paraId="425294D6" w14:textId="77777777" w:rsidR="0012330B" w:rsidRPr="00594959" w:rsidRDefault="0012330B" w:rsidP="00003B30">
            <w:pPr>
              <w:ind w:firstLineChars="0" w:firstLine="0"/>
              <w:jc w:val="center"/>
            </w:pPr>
            <w:r w:rsidRPr="00594959">
              <w:rPr>
                <w:rFonts w:hint="eastAsia"/>
              </w:rPr>
              <w:t>5110</w:t>
            </w:r>
          </w:p>
        </w:tc>
        <w:tc>
          <w:tcPr>
            <w:tcW w:w="1577" w:type="dxa"/>
          </w:tcPr>
          <w:p w14:paraId="7524B1FA" w14:textId="77777777" w:rsidR="0012330B" w:rsidRPr="00594959" w:rsidRDefault="00096E52" w:rsidP="00003B30">
            <w:pPr>
              <w:ind w:firstLineChars="0" w:firstLine="0"/>
              <w:jc w:val="center"/>
            </w:pPr>
            <w:r w:rsidRPr="00594959">
              <w:rPr>
                <w:rFonts w:hint="eastAsia"/>
              </w:rPr>
              <w:t>8760</w:t>
            </w:r>
          </w:p>
        </w:tc>
      </w:tr>
    </w:tbl>
    <w:p w14:paraId="7F9739BD" w14:textId="0A1F967B" w:rsidR="00144CE7" w:rsidRDefault="007E3F12" w:rsidP="007E3F12">
      <w:pPr>
        <w:ind w:firstLine="480"/>
      </w:pPr>
      <w:bookmarkStart w:id="17" w:name="_Toc57827650"/>
      <w:r>
        <w:rPr>
          <w:rFonts w:hint="eastAsia"/>
        </w:rPr>
        <w:t>5</w:t>
      </w:r>
      <w:r>
        <w:t>.0.2</w:t>
      </w:r>
      <w:r w:rsidR="00BC2ADC">
        <w:t xml:space="preserve">  </w:t>
      </w:r>
      <w:r w:rsidR="00A41261" w:rsidRPr="00A41261">
        <w:rPr>
          <w:rFonts w:hint="eastAsia"/>
        </w:rPr>
        <w:t>当商业综合体中央空调采用蓄冷系统时，</w:t>
      </w:r>
      <w:r w:rsidR="00144CE7">
        <w:rPr>
          <w:rFonts w:hint="eastAsia"/>
        </w:rPr>
        <w:t>其能耗指标实测值应依据</w:t>
      </w:r>
      <w:r w:rsidR="00144CE7" w:rsidRPr="00594959">
        <w:rPr>
          <w:rFonts w:ascii="Cambria" w:hAnsi="Cambria" w:hint="eastAsia"/>
          <w:bCs/>
          <w:kern w:val="2"/>
          <w:szCs w:val="24"/>
        </w:rPr>
        <w:t>蓄冷系统全年实际蓄冷量占商业综合体全年总供冷量</w:t>
      </w:r>
      <w:r w:rsidR="00144CE7">
        <w:rPr>
          <w:rFonts w:ascii="Cambria" w:hAnsi="Cambria" w:hint="eastAsia"/>
          <w:bCs/>
          <w:kern w:val="2"/>
          <w:szCs w:val="24"/>
        </w:rPr>
        <w:t>的</w:t>
      </w:r>
      <w:r w:rsidR="00144CE7" w:rsidRPr="00594959">
        <w:rPr>
          <w:rFonts w:ascii="Cambria" w:hAnsi="Cambria" w:hint="eastAsia"/>
          <w:bCs/>
          <w:kern w:val="2"/>
          <w:szCs w:val="24"/>
        </w:rPr>
        <w:t>比例</w:t>
      </w:r>
      <w:r w:rsidR="00144CE7">
        <w:rPr>
          <w:rFonts w:ascii="Cambria" w:hAnsi="Cambria" w:hint="eastAsia"/>
          <w:bCs/>
          <w:kern w:val="2"/>
          <w:szCs w:val="24"/>
        </w:rPr>
        <w:t>进行修正，得到其能耗指标修正值。</w:t>
      </w:r>
    </w:p>
    <w:bookmarkEnd w:id="17"/>
    <w:p w14:paraId="666FD7BD" w14:textId="1700598E" w:rsidR="00883EE8" w:rsidRPr="008C3F84" w:rsidRDefault="00883EE8" w:rsidP="005C3F4D">
      <w:pPr>
        <w:ind w:firstLine="480"/>
        <w:jc w:val="right"/>
        <w:rPr>
          <w:rFonts w:ascii="Cambria" w:hAnsi="Cambria"/>
          <w:bCs/>
          <w:kern w:val="2"/>
          <w:szCs w:val="24"/>
        </w:rPr>
      </w:pPr>
      <w:r w:rsidRPr="008C3F84">
        <w:rPr>
          <w:rFonts w:ascii="Cambria" w:hAnsi="Cambria"/>
          <w:bCs/>
          <w:kern w:val="2"/>
          <w:szCs w:val="24"/>
        </w:rPr>
        <w:t xml:space="preserve">                         </w:t>
      </w:r>
      <w:r w:rsidRPr="008C3F84">
        <w:rPr>
          <w:rFonts w:ascii="Cambria" w:hAnsi="Cambria" w:hint="eastAsia"/>
          <w:bCs/>
          <w:kern w:val="2"/>
          <w:szCs w:val="24"/>
        </w:rPr>
        <w:object w:dxaOrig="1541" w:dyaOrig="373" w14:anchorId="67EEE9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77pt;height:20pt" o:ole="">
            <v:imagedata r:id="rId15" o:title=""/>
          </v:shape>
          <o:OLEObject Type="Embed" ProgID="Equations" ShapeID="_x0000_i1045" DrawAspect="Content" ObjectID="_1675596755" r:id="rId16"/>
        </w:object>
      </w:r>
      <w:r w:rsidRPr="008C3F84">
        <w:rPr>
          <w:rFonts w:ascii="Cambria" w:hAnsi="Cambria"/>
          <w:bCs/>
          <w:kern w:val="2"/>
          <w:szCs w:val="24"/>
        </w:rPr>
        <w:t xml:space="preserve">                  </w:t>
      </w:r>
      <w:r w:rsidR="005C3F4D">
        <w:rPr>
          <w:rFonts w:ascii="Cambria" w:hAnsi="Cambria"/>
          <w:bCs/>
          <w:kern w:val="2"/>
          <w:szCs w:val="24"/>
        </w:rPr>
        <w:t xml:space="preserve">                          </w:t>
      </w:r>
      <w:r w:rsidR="005C3F4D">
        <w:rPr>
          <w:rFonts w:ascii="Cambria" w:hAnsi="Cambria" w:hint="eastAsia"/>
          <w:bCs/>
          <w:kern w:val="2"/>
          <w:szCs w:val="24"/>
        </w:rPr>
        <w:t>（</w:t>
      </w:r>
      <w:r w:rsidR="005C3F4D">
        <w:rPr>
          <w:rFonts w:ascii="Cambria" w:hAnsi="Cambria"/>
          <w:bCs/>
          <w:kern w:val="2"/>
          <w:szCs w:val="24"/>
        </w:rPr>
        <w:t>5.</w:t>
      </w:r>
      <w:r w:rsidR="005C3F4D">
        <w:rPr>
          <w:rFonts w:ascii="Cambria" w:hAnsi="Cambria" w:hint="eastAsia"/>
          <w:bCs/>
          <w:kern w:val="2"/>
          <w:szCs w:val="24"/>
        </w:rPr>
        <w:t>0.2</w:t>
      </w:r>
      <w:r w:rsidR="005C3F4D">
        <w:rPr>
          <w:rFonts w:ascii="Cambria" w:hAnsi="Cambria" w:hint="eastAsia"/>
          <w:bCs/>
          <w:kern w:val="2"/>
          <w:szCs w:val="24"/>
        </w:rPr>
        <w:t>）</w:t>
      </w:r>
    </w:p>
    <w:p w14:paraId="00EAEB5D" w14:textId="382AF4C4" w:rsidR="00883EE8" w:rsidRPr="008C3F84" w:rsidRDefault="00883EE8" w:rsidP="00DF2F66">
      <w:pPr>
        <w:ind w:left="1440" w:hangingChars="600" w:hanging="1440"/>
        <w:rPr>
          <w:rFonts w:ascii="Cambria" w:hAnsi="Cambria"/>
          <w:bCs/>
          <w:kern w:val="2"/>
          <w:szCs w:val="24"/>
        </w:rPr>
      </w:pPr>
      <w:r w:rsidRPr="008C3F84">
        <w:rPr>
          <w:rFonts w:ascii="Cambria" w:hAnsi="Cambria" w:hint="eastAsia"/>
          <w:bCs/>
          <w:kern w:val="2"/>
          <w:szCs w:val="24"/>
        </w:rPr>
        <w:t>式中：</w:t>
      </w:r>
      <w:r w:rsidRPr="008C3F84">
        <w:rPr>
          <w:rFonts w:ascii="Cambria" w:hAnsi="Cambria" w:hint="eastAsia"/>
          <w:bCs/>
          <w:kern w:val="2"/>
          <w:szCs w:val="24"/>
        </w:rPr>
        <w:object w:dxaOrig="232" w:dyaOrig="312" w14:anchorId="5388608D">
          <v:shape id="_x0000_i1046" type="#_x0000_t75" style="width:10.5pt;height:15.5pt" o:ole="">
            <v:imagedata r:id="rId17" o:title=""/>
          </v:shape>
          <o:OLEObject Type="Embed" ProgID="Equations" ShapeID="_x0000_i1046" DrawAspect="Content" ObjectID="_1675596756" r:id="rId18"/>
        </w:object>
      </w:r>
      <w:r w:rsidRPr="008C3F84">
        <w:rPr>
          <w:rFonts w:ascii="Cambria" w:hAnsi="Cambria" w:hint="eastAsia"/>
          <w:bCs/>
          <w:kern w:val="2"/>
          <w:szCs w:val="24"/>
        </w:rPr>
        <w:t>—采用蓄冷系统的</w:t>
      </w:r>
      <w:r w:rsidR="005376A9" w:rsidRPr="008C3F84">
        <w:rPr>
          <w:rFonts w:ascii="Cambria" w:hAnsi="Cambria" w:hint="eastAsia"/>
          <w:bCs/>
          <w:kern w:val="2"/>
          <w:szCs w:val="24"/>
        </w:rPr>
        <w:t>商业综合体</w:t>
      </w:r>
      <w:r w:rsidRPr="008C3F84">
        <w:rPr>
          <w:rFonts w:ascii="Cambria" w:hAnsi="Cambria" w:hint="eastAsia"/>
          <w:bCs/>
          <w:kern w:val="2"/>
          <w:szCs w:val="24"/>
        </w:rPr>
        <w:t>能耗</w:t>
      </w:r>
      <w:r w:rsidR="00144CE7">
        <w:rPr>
          <w:rFonts w:ascii="Cambria" w:hAnsi="Cambria" w:hint="eastAsia"/>
          <w:bCs/>
          <w:kern w:val="2"/>
          <w:szCs w:val="24"/>
        </w:rPr>
        <w:t>指标</w:t>
      </w:r>
      <w:r w:rsidRPr="008C3F84">
        <w:rPr>
          <w:rFonts w:ascii="Cambria" w:hAnsi="Cambria" w:hint="eastAsia"/>
          <w:bCs/>
          <w:kern w:val="2"/>
          <w:szCs w:val="24"/>
        </w:rPr>
        <w:t>修正值</w:t>
      </w:r>
      <w:r w:rsidR="00FB571A">
        <w:rPr>
          <w:rFonts w:hint="eastAsia"/>
        </w:rPr>
        <w:t>[</w:t>
      </w:r>
      <w:r w:rsidR="00FB571A" w:rsidRPr="0021550C">
        <w:t>kWh /(m</w:t>
      </w:r>
      <w:r w:rsidR="00FB571A" w:rsidRPr="00BA53D8">
        <w:rPr>
          <w:vertAlign w:val="superscript"/>
        </w:rPr>
        <w:t>2</w:t>
      </w:r>
      <w:r w:rsidR="00FB571A" w:rsidRPr="0021550C">
        <w:t>·a)</w:t>
      </w:r>
      <w:r w:rsidR="00FB571A">
        <w:t>]</w:t>
      </w:r>
      <w:r w:rsidRPr="008C3F84">
        <w:rPr>
          <w:rFonts w:ascii="Cambria" w:hAnsi="Cambria" w:hint="eastAsia"/>
          <w:bCs/>
          <w:kern w:val="2"/>
          <w:szCs w:val="24"/>
        </w:rPr>
        <w:t>；</w:t>
      </w:r>
    </w:p>
    <w:p w14:paraId="4F53F17A" w14:textId="4BB3A361" w:rsidR="00883EE8" w:rsidRPr="008C3F84" w:rsidRDefault="00883EE8" w:rsidP="00144CE7">
      <w:pPr>
        <w:ind w:leftChars="300" w:left="1440" w:hangingChars="300" w:hanging="720"/>
        <w:rPr>
          <w:rFonts w:ascii="Cambria" w:hAnsi="Cambria"/>
          <w:bCs/>
          <w:kern w:val="2"/>
          <w:szCs w:val="24"/>
        </w:rPr>
      </w:pPr>
      <w:r w:rsidRPr="008C3F84">
        <w:rPr>
          <w:rFonts w:ascii="Cambria" w:hAnsi="Cambria" w:hint="eastAsia"/>
          <w:bCs/>
          <w:kern w:val="2"/>
          <w:szCs w:val="24"/>
        </w:rPr>
        <w:object w:dxaOrig="262" w:dyaOrig="363" w14:anchorId="68D8CCBF">
          <v:shape id="_x0000_i1047" type="#_x0000_t75" style="width:15pt;height:20pt" o:ole="">
            <v:imagedata r:id="rId19" o:title=""/>
          </v:shape>
          <o:OLEObject Type="Embed" ProgID="Equations" ShapeID="_x0000_i1047" DrawAspect="Content" ObjectID="_1675596757" r:id="rId20"/>
        </w:object>
      </w:r>
      <w:r w:rsidRPr="008C3F84">
        <w:rPr>
          <w:rFonts w:ascii="Cambria" w:hAnsi="Cambria" w:hint="eastAsia"/>
          <w:bCs/>
          <w:kern w:val="2"/>
          <w:szCs w:val="24"/>
        </w:rPr>
        <w:t>—采用蓄冷系统的</w:t>
      </w:r>
      <w:r w:rsidR="005376A9" w:rsidRPr="008C3F84">
        <w:rPr>
          <w:rFonts w:ascii="Cambria" w:hAnsi="Cambria" w:hint="eastAsia"/>
          <w:bCs/>
          <w:kern w:val="2"/>
          <w:szCs w:val="24"/>
        </w:rPr>
        <w:t>商业综合体</w:t>
      </w:r>
      <w:r w:rsidRPr="008C3F84">
        <w:rPr>
          <w:rFonts w:ascii="Cambria" w:hAnsi="Cambria" w:hint="eastAsia"/>
          <w:bCs/>
          <w:kern w:val="2"/>
          <w:szCs w:val="24"/>
        </w:rPr>
        <w:t>能耗</w:t>
      </w:r>
      <w:r w:rsidR="00144CE7">
        <w:rPr>
          <w:rFonts w:ascii="Cambria" w:hAnsi="Cambria" w:hint="eastAsia"/>
          <w:bCs/>
          <w:kern w:val="2"/>
          <w:szCs w:val="24"/>
        </w:rPr>
        <w:t>指标</w:t>
      </w:r>
      <w:r w:rsidRPr="008C3F84">
        <w:rPr>
          <w:rFonts w:ascii="Cambria" w:hAnsi="Cambria" w:hint="eastAsia"/>
          <w:bCs/>
          <w:kern w:val="2"/>
          <w:szCs w:val="24"/>
        </w:rPr>
        <w:t>实测值</w:t>
      </w:r>
      <w:r w:rsidR="00FB571A">
        <w:rPr>
          <w:rFonts w:hint="eastAsia"/>
        </w:rPr>
        <w:t xml:space="preserve"> [</w:t>
      </w:r>
      <w:r w:rsidR="00FB571A" w:rsidRPr="0021550C">
        <w:t>kWh /(</w:t>
      </w:r>
      <w:r w:rsidR="005C3F4D">
        <w:t>.</w:t>
      </w:r>
      <w:r w:rsidR="00FB571A" w:rsidRPr="0021550C">
        <w:t>m</w:t>
      </w:r>
      <w:r w:rsidR="00FB571A" w:rsidRPr="00BA53D8">
        <w:rPr>
          <w:vertAlign w:val="superscript"/>
        </w:rPr>
        <w:t>2</w:t>
      </w:r>
      <w:r w:rsidR="00FB571A" w:rsidRPr="0021550C">
        <w:t>·a)</w:t>
      </w:r>
      <w:r w:rsidR="00FB571A">
        <w:t>]</w:t>
      </w:r>
      <w:r w:rsidRPr="008C3F84">
        <w:rPr>
          <w:rFonts w:ascii="Cambria" w:hAnsi="Cambria" w:hint="eastAsia"/>
          <w:bCs/>
          <w:kern w:val="2"/>
          <w:szCs w:val="24"/>
        </w:rPr>
        <w:t>；</w:t>
      </w:r>
    </w:p>
    <w:p w14:paraId="3F211197" w14:textId="5DCDB197" w:rsidR="001B4500" w:rsidRDefault="00883EE8" w:rsidP="00114845">
      <w:pPr>
        <w:ind w:firstLineChars="300" w:firstLine="720"/>
        <w:rPr>
          <w:rFonts w:ascii="Cambria" w:hAnsi="Cambria"/>
          <w:bCs/>
          <w:kern w:val="2"/>
          <w:szCs w:val="24"/>
        </w:rPr>
      </w:pPr>
      <w:r w:rsidRPr="008C3F84">
        <w:rPr>
          <w:rFonts w:ascii="Cambria" w:hAnsi="Cambria" w:hint="eastAsia"/>
          <w:bCs/>
          <w:kern w:val="2"/>
          <w:szCs w:val="24"/>
        </w:rPr>
        <w:object w:dxaOrig="262" w:dyaOrig="232" w14:anchorId="39745B44">
          <v:shape id="_x0000_i1048" type="#_x0000_t75" style="width:15pt;height:10.5pt" o:ole="">
            <v:imagedata r:id="rId21" o:title=""/>
          </v:shape>
          <o:OLEObject Type="Embed" ProgID="Equations" ShapeID="_x0000_i1048" DrawAspect="Content" ObjectID="_1675596758" r:id="rId22"/>
        </w:object>
      </w:r>
      <w:r w:rsidRPr="008C3F84">
        <w:rPr>
          <w:rFonts w:ascii="Cambria" w:hAnsi="Cambria" w:hint="eastAsia"/>
          <w:bCs/>
          <w:kern w:val="2"/>
          <w:szCs w:val="24"/>
        </w:rPr>
        <w:t>—蓄冷系统能耗指标的修正系数，应按表</w:t>
      </w:r>
      <w:r w:rsidR="003A6D41" w:rsidRPr="008C3F84">
        <w:rPr>
          <w:rFonts w:ascii="Cambria" w:hAnsi="Cambria"/>
          <w:bCs/>
          <w:kern w:val="2"/>
          <w:szCs w:val="24"/>
        </w:rPr>
        <w:t>5</w:t>
      </w:r>
      <w:r w:rsidR="003A6D41" w:rsidRPr="008C3F84">
        <w:rPr>
          <w:rFonts w:ascii="Cambria" w:hAnsi="Cambria" w:hint="eastAsia"/>
          <w:bCs/>
          <w:kern w:val="2"/>
          <w:szCs w:val="24"/>
        </w:rPr>
        <w:t>.</w:t>
      </w:r>
      <w:r w:rsidR="003A6D41" w:rsidRPr="008C3F84">
        <w:rPr>
          <w:rFonts w:ascii="Cambria" w:hAnsi="Cambria"/>
          <w:bCs/>
          <w:kern w:val="2"/>
          <w:szCs w:val="24"/>
        </w:rPr>
        <w:t>0</w:t>
      </w:r>
      <w:r w:rsidR="003A6D41" w:rsidRPr="008C3F84">
        <w:rPr>
          <w:rFonts w:ascii="Cambria" w:hAnsi="Cambria" w:hint="eastAsia"/>
          <w:bCs/>
          <w:kern w:val="2"/>
          <w:szCs w:val="24"/>
        </w:rPr>
        <w:t>.</w:t>
      </w:r>
      <w:r w:rsidR="00BC2ADC">
        <w:rPr>
          <w:rFonts w:ascii="Cambria" w:hAnsi="Cambria" w:hint="eastAsia"/>
          <w:bCs/>
          <w:kern w:val="2"/>
          <w:szCs w:val="24"/>
        </w:rPr>
        <w:t>2</w:t>
      </w:r>
      <w:r w:rsidRPr="008C3F84">
        <w:rPr>
          <w:rFonts w:ascii="Cambria" w:hAnsi="Cambria" w:hint="eastAsia"/>
          <w:bCs/>
          <w:kern w:val="2"/>
          <w:szCs w:val="24"/>
        </w:rPr>
        <w:t>取值。</w:t>
      </w:r>
    </w:p>
    <w:p w14:paraId="25D62E70" w14:textId="6E07DFC9" w:rsidR="003A6D41" w:rsidRPr="00594959" w:rsidRDefault="003A6D41" w:rsidP="00594959">
      <w:pPr>
        <w:ind w:firstLineChars="0" w:firstLine="0"/>
        <w:jc w:val="center"/>
        <w:rPr>
          <w:rFonts w:ascii="Cambria" w:hAnsi="Cambria"/>
          <w:bCs/>
          <w:kern w:val="2"/>
          <w:szCs w:val="24"/>
        </w:rPr>
      </w:pPr>
      <w:r w:rsidRPr="00594959">
        <w:rPr>
          <w:rFonts w:ascii="Cambria" w:hAnsi="Cambria"/>
          <w:bCs/>
          <w:kern w:val="2"/>
          <w:szCs w:val="24"/>
        </w:rPr>
        <w:lastRenderedPageBreak/>
        <w:t>表</w:t>
      </w:r>
      <w:r w:rsidRPr="00594959">
        <w:rPr>
          <w:rFonts w:ascii="Cambria" w:hAnsi="Cambria"/>
          <w:bCs/>
          <w:kern w:val="2"/>
          <w:szCs w:val="24"/>
        </w:rPr>
        <w:t>5</w:t>
      </w:r>
      <w:r w:rsidRPr="00594959">
        <w:rPr>
          <w:rFonts w:ascii="Cambria" w:hAnsi="Cambria" w:hint="eastAsia"/>
          <w:bCs/>
          <w:kern w:val="2"/>
          <w:szCs w:val="24"/>
        </w:rPr>
        <w:t>.</w:t>
      </w:r>
      <w:r w:rsidRPr="00594959">
        <w:rPr>
          <w:rFonts w:ascii="Cambria" w:hAnsi="Cambria"/>
          <w:bCs/>
          <w:kern w:val="2"/>
          <w:szCs w:val="24"/>
        </w:rPr>
        <w:t>0</w:t>
      </w:r>
      <w:r w:rsidRPr="00594959">
        <w:rPr>
          <w:rFonts w:ascii="Cambria" w:hAnsi="Cambria" w:hint="eastAsia"/>
          <w:bCs/>
          <w:kern w:val="2"/>
          <w:szCs w:val="24"/>
        </w:rPr>
        <w:t>.</w:t>
      </w:r>
      <w:r w:rsidR="00BC2ADC">
        <w:rPr>
          <w:rFonts w:ascii="Cambria" w:hAnsi="Cambria" w:hint="eastAsia"/>
          <w:bCs/>
          <w:kern w:val="2"/>
          <w:szCs w:val="24"/>
        </w:rPr>
        <w:t>2</w:t>
      </w:r>
      <w:r w:rsidRPr="00594959">
        <w:rPr>
          <w:rFonts w:ascii="Cambria" w:hAnsi="Cambria"/>
          <w:bCs/>
          <w:kern w:val="2"/>
          <w:szCs w:val="24"/>
        </w:rPr>
        <w:t>蓄冷系统能耗</w:t>
      </w:r>
      <w:r w:rsidR="00144CE7">
        <w:rPr>
          <w:rFonts w:ascii="Cambria" w:hAnsi="Cambria" w:hint="eastAsia"/>
          <w:bCs/>
          <w:kern w:val="2"/>
          <w:szCs w:val="24"/>
        </w:rPr>
        <w:t>指标</w:t>
      </w:r>
      <w:r w:rsidRPr="00594959">
        <w:rPr>
          <w:rFonts w:ascii="Cambria" w:hAnsi="Cambria"/>
          <w:bCs/>
          <w:kern w:val="2"/>
          <w:szCs w:val="24"/>
        </w:rPr>
        <w:t>修正系数</w:t>
      </w:r>
    </w:p>
    <w:tbl>
      <w:tblPr>
        <w:tblStyle w:val="af1"/>
        <w:tblW w:w="8250" w:type="dxa"/>
        <w:jc w:val="center"/>
        <w:tblLook w:val="04A0" w:firstRow="1" w:lastRow="0" w:firstColumn="1" w:lastColumn="0" w:noHBand="0" w:noVBand="1"/>
      </w:tblPr>
      <w:tblGrid>
        <w:gridCol w:w="6771"/>
        <w:gridCol w:w="1479"/>
      </w:tblGrid>
      <w:tr w:rsidR="00883EE8" w:rsidRPr="00594959" w14:paraId="2B76A504" w14:textId="77777777" w:rsidTr="009622A9">
        <w:trPr>
          <w:jc w:val="center"/>
        </w:trPr>
        <w:tc>
          <w:tcPr>
            <w:tcW w:w="6771" w:type="dxa"/>
          </w:tcPr>
          <w:p w14:paraId="24C03DB4" w14:textId="74988704" w:rsidR="00883EE8" w:rsidRPr="00594959" w:rsidRDefault="00883EE8" w:rsidP="00594959">
            <w:pPr>
              <w:ind w:firstLineChars="0" w:firstLine="0"/>
              <w:rPr>
                <w:rFonts w:ascii="Cambria" w:hAnsi="Cambria"/>
                <w:bCs/>
                <w:kern w:val="2"/>
                <w:szCs w:val="24"/>
              </w:rPr>
            </w:pPr>
            <w:r w:rsidRPr="00594959">
              <w:rPr>
                <w:rFonts w:ascii="Cambria" w:hAnsi="Cambria" w:hint="eastAsia"/>
                <w:bCs/>
                <w:kern w:val="2"/>
                <w:szCs w:val="24"/>
              </w:rPr>
              <w:t>蓄冷系统全年实际蓄冷量占</w:t>
            </w:r>
            <w:r w:rsidR="005376A9" w:rsidRPr="00594959">
              <w:rPr>
                <w:rFonts w:ascii="Cambria" w:hAnsi="Cambria" w:hint="eastAsia"/>
                <w:bCs/>
                <w:kern w:val="2"/>
                <w:szCs w:val="24"/>
              </w:rPr>
              <w:t>商业综合体</w:t>
            </w:r>
            <w:r w:rsidRPr="00594959">
              <w:rPr>
                <w:rFonts w:ascii="Cambria" w:hAnsi="Cambria" w:hint="eastAsia"/>
                <w:bCs/>
                <w:kern w:val="2"/>
                <w:szCs w:val="24"/>
              </w:rPr>
              <w:t>全年总供冷量比例</w:t>
            </w:r>
          </w:p>
        </w:tc>
        <w:tc>
          <w:tcPr>
            <w:tcW w:w="1479" w:type="dxa"/>
          </w:tcPr>
          <w:p w14:paraId="7E0BF303" w14:textId="2F658264" w:rsidR="00883EE8" w:rsidRPr="00594959" w:rsidRDefault="00E1110A" w:rsidP="00E1110A">
            <w:pPr>
              <w:ind w:firstLineChars="0" w:firstLine="0"/>
              <w:rPr>
                <w:rFonts w:ascii="Cambria" w:hAnsi="Cambria"/>
                <w:bCs/>
                <w:kern w:val="2"/>
                <w:szCs w:val="24"/>
              </w:rPr>
            </w:pPr>
            <w:r>
              <w:rPr>
                <w:rFonts w:ascii="Cambria" w:hAnsi="Cambria" w:hint="eastAsia"/>
                <w:bCs/>
                <w:kern w:val="2"/>
                <w:szCs w:val="24"/>
              </w:rPr>
              <w:t>修正系数</w:t>
            </w:r>
            <w:r w:rsidR="00883EE8" w:rsidRPr="00594959">
              <w:rPr>
                <w:rFonts w:ascii="Cambria" w:hAnsi="Cambria" w:hint="eastAsia"/>
                <w:bCs/>
                <w:kern w:val="2"/>
                <w:szCs w:val="24"/>
              </w:rPr>
              <w:t>σ</w:t>
            </w:r>
          </w:p>
        </w:tc>
      </w:tr>
      <w:tr w:rsidR="00883EE8" w:rsidRPr="00594959" w14:paraId="4677E75F" w14:textId="77777777" w:rsidTr="009622A9">
        <w:trPr>
          <w:jc w:val="center"/>
        </w:trPr>
        <w:tc>
          <w:tcPr>
            <w:tcW w:w="6771" w:type="dxa"/>
          </w:tcPr>
          <w:p w14:paraId="01A545BA" w14:textId="77777777" w:rsidR="00883EE8" w:rsidRPr="00594959" w:rsidRDefault="00883EE8" w:rsidP="00594959">
            <w:pPr>
              <w:ind w:firstLineChars="0" w:firstLine="0"/>
              <w:rPr>
                <w:rFonts w:ascii="Cambria" w:hAnsi="Cambria"/>
                <w:bCs/>
                <w:kern w:val="2"/>
                <w:szCs w:val="24"/>
              </w:rPr>
            </w:pPr>
            <w:r w:rsidRPr="00594959">
              <w:rPr>
                <w:rFonts w:ascii="Cambria" w:hAnsi="Cambria" w:hint="eastAsia"/>
                <w:bCs/>
                <w:kern w:val="2"/>
                <w:szCs w:val="24"/>
              </w:rPr>
              <w:t>小于等于</w:t>
            </w:r>
            <w:r w:rsidRPr="00594959">
              <w:rPr>
                <w:rFonts w:ascii="Cambria" w:hAnsi="Cambria" w:hint="eastAsia"/>
                <w:bCs/>
                <w:kern w:val="2"/>
                <w:szCs w:val="24"/>
              </w:rPr>
              <w:t>30</w:t>
            </w:r>
            <w:r w:rsidRPr="00594959">
              <w:rPr>
                <w:rFonts w:ascii="Cambria" w:hAnsi="Cambria" w:hint="eastAsia"/>
                <w:bCs/>
                <w:kern w:val="2"/>
                <w:szCs w:val="24"/>
              </w:rPr>
              <w:t>％</w:t>
            </w:r>
          </w:p>
        </w:tc>
        <w:tc>
          <w:tcPr>
            <w:tcW w:w="1479" w:type="dxa"/>
          </w:tcPr>
          <w:p w14:paraId="3C7097AF" w14:textId="77777777" w:rsidR="00883EE8" w:rsidRPr="00594959" w:rsidRDefault="00883EE8" w:rsidP="00594959">
            <w:pPr>
              <w:ind w:firstLine="480"/>
              <w:rPr>
                <w:rFonts w:ascii="Cambria" w:hAnsi="Cambria"/>
                <w:bCs/>
                <w:kern w:val="2"/>
                <w:szCs w:val="24"/>
              </w:rPr>
            </w:pPr>
            <w:r w:rsidRPr="00594959">
              <w:rPr>
                <w:rFonts w:ascii="Cambria" w:hAnsi="Cambria" w:hint="eastAsia"/>
                <w:bCs/>
                <w:kern w:val="2"/>
                <w:szCs w:val="24"/>
              </w:rPr>
              <w:t>0.02</w:t>
            </w:r>
          </w:p>
        </w:tc>
      </w:tr>
      <w:tr w:rsidR="00883EE8" w:rsidRPr="00594959" w14:paraId="143589E3" w14:textId="77777777" w:rsidTr="009622A9">
        <w:trPr>
          <w:jc w:val="center"/>
        </w:trPr>
        <w:tc>
          <w:tcPr>
            <w:tcW w:w="6771" w:type="dxa"/>
          </w:tcPr>
          <w:p w14:paraId="00F401CE" w14:textId="77777777" w:rsidR="00883EE8" w:rsidRPr="00594959" w:rsidRDefault="00883EE8" w:rsidP="00594959">
            <w:pPr>
              <w:ind w:firstLineChars="0" w:firstLine="0"/>
              <w:rPr>
                <w:rFonts w:ascii="Cambria" w:hAnsi="Cambria"/>
                <w:bCs/>
                <w:kern w:val="2"/>
                <w:szCs w:val="24"/>
              </w:rPr>
            </w:pPr>
            <w:r w:rsidRPr="00594959">
              <w:rPr>
                <w:rFonts w:ascii="Cambria" w:hAnsi="Cambria" w:hint="eastAsia"/>
                <w:bCs/>
                <w:kern w:val="2"/>
                <w:szCs w:val="24"/>
              </w:rPr>
              <w:t>大于</w:t>
            </w:r>
            <w:r w:rsidRPr="00594959">
              <w:rPr>
                <w:rFonts w:ascii="Cambria" w:hAnsi="Cambria" w:hint="eastAsia"/>
                <w:bCs/>
                <w:kern w:val="2"/>
                <w:szCs w:val="24"/>
              </w:rPr>
              <w:t>30</w:t>
            </w:r>
            <w:r w:rsidRPr="00594959">
              <w:rPr>
                <w:rFonts w:ascii="Cambria" w:hAnsi="Cambria" w:hint="eastAsia"/>
                <w:bCs/>
                <w:kern w:val="2"/>
                <w:szCs w:val="24"/>
              </w:rPr>
              <w:t>％且小于等于</w:t>
            </w:r>
            <w:r w:rsidRPr="00594959">
              <w:rPr>
                <w:rFonts w:ascii="Cambria" w:hAnsi="Cambria" w:hint="eastAsia"/>
                <w:bCs/>
                <w:kern w:val="2"/>
                <w:szCs w:val="24"/>
              </w:rPr>
              <w:t>60</w:t>
            </w:r>
            <w:r w:rsidRPr="00594959">
              <w:rPr>
                <w:rFonts w:ascii="Cambria" w:hAnsi="Cambria" w:hint="eastAsia"/>
                <w:bCs/>
                <w:kern w:val="2"/>
                <w:szCs w:val="24"/>
              </w:rPr>
              <w:t>％</w:t>
            </w:r>
          </w:p>
        </w:tc>
        <w:tc>
          <w:tcPr>
            <w:tcW w:w="1479" w:type="dxa"/>
          </w:tcPr>
          <w:p w14:paraId="2BF5EA98" w14:textId="77777777" w:rsidR="00883EE8" w:rsidRPr="00594959" w:rsidRDefault="00883EE8" w:rsidP="00594959">
            <w:pPr>
              <w:ind w:firstLine="480"/>
              <w:rPr>
                <w:rFonts w:ascii="Cambria" w:hAnsi="Cambria"/>
                <w:bCs/>
                <w:kern w:val="2"/>
                <w:szCs w:val="24"/>
              </w:rPr>
            </w:pPr>
            <w:r w:rsidRPr="00594959">
              <w:rPr>
                <w:rFonts w:ascii="Cambria" w:hAnsi="Cambria" w:hint="eastAsia"/>
                <w:bCs/>
                <w:kern w:val="2"/>
                <w:szCs w:val="24"/>
              </w:rPr>
              <w:t>0.04</w:t>
            </w:r>
          </w:p>
        </w:tc>
      </w:tr>
      <w:tr w:rsidR="00883EE8" w:rsidRPr="00594959" w14:paraId="07095D06" w14:textId="77777777" w:rsidTr="009622A9">
        <w:trPr>
          <w:jc w:val="center"/>
        </w:trPr>
        <w:tc>
          <w:tcPr>
            <w:tcW w:w="6771" w:type="dxa"/>
          </w:tcPr>
          <w:p w14:paraId="64F77F13" w14:textId="77777777" w:rsidR="00883EE8" w:rsidRPr="00594959" w:rsidRDefault="00883EE8" w:rsidP="00594959">
            <w:pPr>
              <w:ind w:firstLineChars="0" w:firstLine="0"/>
              <w:rPr>
                <w:rFonts w:ascii="Cambria" w:hAnsi="Cambria"/>
                <w:bCs/>
                <w:kern w:val="2"/>
                <w:szCs w:val="24"/>
              </w:rPr>
            </w:pPr>
            <w:r w:rsidRPr="00594959">
              <w:rPr>
                <w:rFonts w:ascii="Cambria" w:hAnsi="Cambria" w:hint="eastAsia"/>
                <w:bCs/>
                <w:kern w:val="2"/>
                <w:szCs w:val="24"/>
              </w:rPr>
              <w:t>大于</w:t>
            </w:r>
            <w:r w:rsidRPr="00594959">
              <w:rPr>
                <w:rFonts w:ascii="Cambria" w:hAnsi="Cambria" w:hint="eastAsia"/>
                <w:bCs/>
                <w:kern w:val="2"/>
                <w:szCs w:val="24"/>
              </w:rPr>
              <w:t>60</w:t>
            </w:r>
            <w:r w:rsidRPr="00594959">
              <w:rPr>
                <w:rFonts w:ascii="Cambria" w:hAnsi="Cambria" w:hint="eastAsia"/>
                <w:bCs/>
                <w:kern w:val="2"/>
                <w:szCs w:val="24"/>
              </w:rPr>
              <w:t>％</w:t>
            </w:r>
          </w:p>
        </w:tc>
        <w:tc>
          <w:tcPr>
            <w:tcW w:w="1479" w:type="dxa"/>
          </w:tcPr>
          <w:p w14:paraId="05D2E78A" w14:textId="77777777" w:rsidR="00883EE8" w:rsidRPr="00594959" w:rsidRDefault="00883EE8" w:rsidP="00594959">
            <w:pPr>
              <w:ind w:firstLine="480"/>
              <w:rPr>
                <w:rFonts w:ascii="Cambria" w:hAnsi="Cambria"/>
                <w:bCs/>
                <w:kern w:val="2"/>
                <w:szCs w:val="24"/>
              </w:rPr>
            </w:pPr>
            <w:r w:rsidRPr="00594959">
              <w:rPr>
                <w:rFonts w:ascii="Cambria" w:hAnsi="Cambria" w:hint="eastAsia"/>
                <w:bCs/>
                <w:kern w:val="2"/>
                <w:szCs w:val="24"/>
              </w:rPr>
              <w:t>0.06</w:t>
            </w:r>
          </w:p>
        </w:tc>
      </w:tr>
    </w:tbl>
    <w:p w14:paraId="0D425206" w14:textId="6166A96A" w:rsidR="00435A2E" w:rsidRDefault="007E3F12" w:rsidP="007E3F12">
      <w:pPr>
        <w:pStyle w:val="2"/>
        <w:numPr>
          <w:ilvl w:val="0"/>
          <w:numId w:val="0"/>
        </w:numPr>
        <w:ind w:left="425"/>
        <w:jc w:val="center"/>
      </w:pPr>
      <w:bookmarkStart w:id="18" w:name="_Toc59727153"/>
      <w:bookmarkStart w:id="19" w:name="_Toc64983956"/>
      <w:r>
        <w:rPr>
          <w:rFonts w:hint="eastAsia"/>
        </w:rPr>
        <w:t>6</w:t>
      </w:r>
      <w:r w:rsidR="00BC2ADC">
        <w:t xml:space="preserve">  </w:t>
      </w:r>
      <w:r w:rsidR="00435A2E">
        <w:rPr>
          <w:rFonts w:hint="eastAsia"/>
        </w:rPr>
        <w:t>用能管理</w:t>
      </w:r>
      <w:bookmarkEnd w:id="18"/>
      <w:bookmarkEnd w:id="19"/>
    </w:p>
    <w:p w14:paraId="4451756A" w14:textId="25FC973E" w:rsidR="00820879" w:rsidRPr="008C3F84" w:rsidRDefault="007E3F12" w:rsidP="007E3F12">
      <w:pPr>
        <w:ind w:firstLine="480"/>
        <w:rPr>
          <w:b/>
        </w:rPr>
      </w:pPr>
      <w:r>
        <w:rPr>
          <w:rFonts w:hint="eastAsia"/>
        </w:rPr>
        <w:t>6</w:t>
      </w:r>
      <w:r>
        <w:t>.0.1</w:t>
      </w:r>
      <w:r w:rsidR="00BC2ADC">
        <w:t xml:space="preserve">  </w:t>
      </w:r>
      <w:r w:rsidR="00820879" w:rsidRPr="008C3F84">
        <w:rPr>
          <w:rFonts w:hint="eastAsia"/>
        </w:rPr>
        <w:t>商业</w:t>
      </w:r>
      <w:r w:rsidR="0090412B" w:rsidRPr="008C3F84">
        <w:rPr>
          <w:rFonts w:hint="eastAsia"/>
        </w:rPr>
        <w:t>综合体</w:t>
      </w:r>
      <w:r w:rsidR="00820879" w:rsidRPr="008C3F84">
        <w:rPr>
          <w:rFonts w:hint="eastAsia"/>
        </w:rPr>
        <w:t>用能单位应</w:t>
      </w:r>
      <w:r w:rsidR="00260FA7" w:rsidRPr="008C3F84">
        <w:rPr>
          <w:rFonts w:hint="eastAsia"/>
        </w:rPr>
        <w:t>按</w:t>
      </w:r>
      <w:r w:rsidR="008C3F84">
        <w:rPr>
          <w:rFonts w:hint="eastAsia"/>
        </w:rPr>
        <w:t>节能主管</w:t>
      </w:r>
      <w:r w:rsidR="00820879" w:rsidRPr="008C3F84">
        <w:rPr>
          <w:rFonts w:hint="eastAsia"/>
        </w:rPr>
        <w:t>部门工作要求，</w:t>
      </w:r>
      <w:r w:rsidR="00E1110A">
        <w:rPr>
          <w:rFonts w:hint="eastAsia"/>
        </w:rPr>
        <w:t>采用</w:t>
      </w:r>
      <w:r w:rsidR="00820879" w:rsidRPr="008C3F84">
        <w:rPr>
          <w:rFonts w:hint="eastAsia"/>
        </w:rPr>
        <w:t>本</w:t>
      </w:r>
      <w:r w:rsidR="006C5E9B" w:rsidRPr="008C3F84">
        <w:rPr>
          <w:rFonts w:hint="eastAsia"/>
        </w:rPr>
        <w:t>指南</w:t>
      </w:r>
      <w:r w:rsidR="00E1110A">
        <w:rPr>
          <w:rFonts w:hint="eastAsia"/>
        </w:rPr>
        <w:t>进行</w:t>
      </w:r>
      <w:r w:rsidR="00820879" w:rsidRPr="008C3F84">
        <w:rPr>
          <w:rFonts w:hint="eastAsia"/>
        </w:rPr>
        <w:t>能耗</w:t>
      </w:r>
      <w:r w:rsidR="00260FA7" w:rsidRPr="008C3F84">
        <w:rPr>
          <w:rFonts w:hint="eastAsia"/>
        </w:rPr>
        <w:t>统计</w:t>
      </w:r>
      <w:r w:rsidR="008C3F84">
        <w:rPr>
          <w:rFonts w:hint="eastAsia"/>
        </w:rPr>
        <w:t>、</w:t>
      </w:r>
      <w:r w:rsidR="00820879" w:rsidRPr="008C3F84">
        <w:rPr>
          <w:rFonts w:hint="eastAsia"/>
        </w:rPr>
        <w:t>对标工作，落实各项节能措施，</w:t>
      </w:r>
      <w:r w:rsidR="008C3F84">
        <w:rPr>
          <w:rFonts w:hint="eastAsia"/>
        </w:rPr>
        <w:t>提高能源利用效率</w:t>
      </w:r>
      <w:r w:rsidR="00820879" w:rsidRPr="008C3F84">
        <w:rPr>
          <w:rFonts w:hint="eastAsia"/>
        </w:rPr>
        <w:t>。</w:t>
      </w:r>
      <w:r w:rsidR="00DE1D78" w:rsidRPr="00DE1D78">
        <w:rPr>
          <w:rFonts w:hint="eastAsia"/>
        </w:rPr>
        <w:t>对违反能源法律法规、规章等行为，由能源综合行政执法机构依法予以处置。</w:t>
      </w:r>
    </w:p>
    <w:p w14:paraId="0412370F" w14:textId="655F192D" w:rsidR="000C30E4" w:rsidRDefault="007E3F12" w:rsidP="007E3F12">
      <w:pPr>
        <w:ind w:firstLine="480"/>
        <w:rPr>
          <w:b/>
        </w:rPr>
      </w:pPr>
      <w:r>
        <w:t>6.0.2</w:t>
      </w:r>
      <w:r w:rsidR="00BC2ADC">
        <w:t xml:space="preserve">  </w:t>
      </w:r>
      <w:r w:rsidR="00B40CF1" w:rsidRPr="000C30E4">
        <w:rPr>
          <w:rFonts w:hint="eastAsia"/>
        </w:rPr>
        <w:t>商业综合体用能单位应</w:t>
      </w:r>
      <w:r w:rsidR="00B40CF1" w:rsidRPr="000C30E4">
        <w:t>按节能设计和运行管理要求，建立健全节能运行管理制度和操作规程，建立用能档案，</w:t>
      </w:r>
      <w:r w:rsidR="00B40CF1" w:rsidRPr="000C30E4">
        <w:rPr>
          <w:rFonts w:hint="eastAsia"/>
        </w:rPr>
        <w:t>设立专职能源管理岗位，</w:t>
      </w:r>
      <w:r w:rsidR="00B40CF1" w:rsidRPr="000C30E4">
        <w:t>明确岗位目标责任</w:t>
      </w:r>
      <w:r w:rsidR="00B40CF1" w:rsidRPr="000C30E4">
        <w:rPr>
          <w:rFonts w:hint="eastAsia"/>
        </w:rPr>
        <w:t>，做好能耗原始数据的记录、统计、计算、考核等工作，并定期开展岗位人员节能管理能力和技能的培训。</w:t>
      </w:r>
    </w:p>
    <w:p w14:paraId="49D6DBDE" w14:textId="6CDC3BCA" w:rsidR="00260FA7" w:rsidRPr="000C30E4" w:rsidRDefault="007E3F12" w:rsidP="007E3F12">
      <w:pPr>
        <w:ind w:firstLine="480"/>
        <w:rPr>
          <w:b/>
        </w:rPr>
      </w:pPr>
      <w:r>
        <w:t>6.0.3</w:t>
      </w:r>
      <w:r w:rsidR="00BC2ADC">
        <w:t xml:space="preserve">  </w:t>
      </w:r>
      <w:r w:rsidR="00820879" w:rsidRPr="000C30E4">
        <w:rPr>
          <w:rFonts w:hint="eastAsia"/>
        </w:rPr>
        <w:t>商业</w:t>
      </w:r>
      <w:r w:rsidR="006C5E9B" w:rsidRPr="000C30E4">
        <w:rPr>
          <w:rFonts w:hint="eastAsia"/>
        </w:rPr>
        <w:t>综合体</w:t>
      </w:r>
      <w:r w:rsidR="004952D2" w:rsidRPr="000C30E4">
        <w:rPr>
          <w:rFonts w:hint="eastAsia"/>
        </w:rPr>
        <w:t>用能单位</w:t>
      </w:r>
      <w:r w:rsidR="00820879" w:rsidRPr="000C30E4">
        <w:rPr>
          <w:rFonts w:hint="eastAsia"/>
        </w:rPr>
        <w:t>应</w:t>
      </w:r>
      <w:r w:rsidR="00260FA7" w:rsidRPr="000C30E4">
        <w:rPr>
          <w:rFonts w:hint="eastAsia"/>
        </w:rPr>
        <w:t>按规定</w:t>
      </w:r>
      <w:r w:rsidR="00820879" w:rsidRPr="000C30E4">
        <w:rPr>
          <w:rFonts w:hint="eastAsia"/>
        </w:rPr>
        <w:t>配备</w:t>
      </w:r>
      <w:r w:rsidR="00F438B1" w:rsidRPr="000C30E4">
        <w:t>和使用依法检定合格的能源计量器具，建立健全用能原始记录和统计台账，</w:t>
      </w:r>
      <w:r w:rsidR="00260FA7" w:rsidRPr="000C30E4">
        <w:rPr>
          <w:rFonts w:hint="eastAsia"/>
        </w:rPr>
        <w:t>宜按细分业态建立能耗分项计量监测系统，实施能耗在线监测与动态分析，及时发现、纠正用能浪费现象。</w:t>
      </w:r>
    </w:p>
    <w:p w14:paraId="5A7B5183" w14:textId="26C49545" w:rsidR="00E1110A" w:rsidRDefault="007E3F12" w:rsidP="007E3F12">
      <w:pPr>
        <w:ind w:firstLine="480"/>
      </w:pPr>
      <w:r>
        <w:t>6.0.4</w:t>
      </w:r>
      <w:r w:rsidR="00BC2ADC">
        <w:t xml:space="preserve">  </w:t>
      </w:r>
      <w:r w:rsidR="00B32E60" w:rsidRPr="008C3F84">
        <w:rPr>
          <w:rFonts w:hint="eastAsia"/>
        </w:rPr>
        <w:t>商业综合体</w:t>
      </w:r>
      <w:r w:rsidR="00B32E60">
        <w:rPr>
          <w:rFonts w:hint="eastAsia"/>
        </w:rPr>
        <w:t>用能单位</w:t>
      </w:r>
      <w:r w:rsidR="00B32E60" w:rsidRPr="00F438B1">
        <w:t>应</w:t>
      </w:r>
      <w:r w:rsidR="009845A5">
        <w:rPr>
          <w:rFonts w:hint="eastAsia"/>
        </w:rPr>
        <w:t>定期</w:t>
      </w:r>
      <w:r w:rsidR="00E1110A">
        <w:rPr>
          <w:rFonts w:hint="eastAsia"/>
        </w:rPr>
        <w:t>进行</w:t>
      </w:r>
      <w:r w:rsidR="009845A5">
        <w:rPr>
          <w:rFonts w:hint="eastAsia"/>
        </w:rPr>
        <w:t>细分业态的</w:t>
      </w:r>
      <w:r w:rsidR="009845A5" w:rsidRPr="008C3F84">
        <w:rPr>
          <w:rFonts w:hint="eastAsia"/>
        </w:rPr>
        <w:t>能耗统计</w:t>
      </w:r>
      <w:r w:rsidR="009845A5">
        <w:rPr>
          <w:rFonts w:hint="eastAsia"/>
        </w:rPr>
        <w:t>、</w:t>
      </w:r>
      <w:r w:rsidR="009845A5" w:rsidRPr="008C3F84">
        <w:rPr>
          <w:rFonts w:hint="eastAsia"/>
        </w:rPr>
        <w:t>对标工作，</w:t>
      </w:r>
      <w:r w:rsidR="009845A5">
        <w:rPr>
          <w:rFonts w:hint="eastAsia"/>
        </w:rPr>
        <w:t>掌握细分业态的能源利用情况</w:t>
      </w:r>
      <w:r w:rsidR="00E1110A">
        <w:rPr>
          <w:rFonts w:hint="eastAsia"/>
        </w:rPr>
        <w:t>，各细分业态能耗指标可按本指南附录</w:t>
      </w:r>
      <w:r w:rsidR="00E1110A">
        <w:t>B</w:t>
      </w:r>
      <w:r w:rsidR="00E1110A">
        <w:rPr>
          <w:rFonts w:hint="eastAsia"/>
        </w:rPr>
        <w:t>执行。</w:t>
      </w:r>
    </w:p>
    <w:p w14:paraId="52BDADF0" w14:textId="52E98CCF" w:rsidR="00B32E60" w:rsidRDefault="00E1110A" w:rsidP="007E3F12">
      <w:pPr>
        <w:ind w:firstLine="480"/>
        <w:rPr>
          <w:b/>
        </w:rPr>
      </w:pPr>
      <w:r>
        <w:t>6.0.</w:t>
      </w:r>
      <w:r>
        <w:rPr>
          <w:rFonts w:hint="eastAsia"/>
        </w:rPr>
        <w:t>5</w:t>
      </w:r>
      <w:r w:rsidRPr="008C3F84">
        <w:rPr>
          <w:rFonts w:hint="eastAsia"/>
        </w:rPr>
        <w:t>商业综合体</w:t>
      </w:r>
      <w:r>
        <w:rPr>
          <w:rFonts w:hint="eastAsia"/>
        </w:rPr>
        <w:t>用能单位</w:t>
      </w:r>
      <w:r w:rsidR="009845A5">
        <w:rPr>
          <w:rFonts w:hint="eastAsia"/>
        </w:rPr>
        <w:t>应</w:t>
      </w:r>
      <w:r w:rsidR="009845A5" w:rsidRPr="00F438B1">
        <w:t>定期对用能设备和系统进行维护、维修、保养及更新置换</w:t>
      </w:r>
      <w:r w:rsidR="009845A5">
        <w:rPr>
          <w:rFonts w:hint="eastAsia"/>
        </w:rPr>
        <w:t>，</w:t>
      </w:r>
      <w:r w:rsidR="009845A5" w:rsidRPr="00F438B1">
        <w:t>保证设备和系统的正常运行</w:t>
      </w:r>
      <w:r w:rsidR="009845A5">
        <w:rPr>
          <w:rFonts w:hint="eastAsia"/>
        </w:rPr>
        <w:t>；</w:t>
      </w:r>
      <w:r w:rsidR="00B32E60" w:rsidRPr="00F438B1">
        <w:t>在供热或者制冷间歇期</w:t>
      </w:r>
      <w:r w:rsidR="009845A5">
        <w:rPr>
          <w:rFonts w:hint="eastAsia"/>
        </w:rPr>
        <w:t>宜</w:t>
      </w:r>
      <w:r w:rsidR="00B32E60" w:rsidRPr="00F438B1">
        <w:t>委托相关检测机构对用能设备和系统性能进行综合检测评价与调适，合理控制能耗。</w:t>
      </w:r>
    </w:p>
    <w:p w14:paraId="51C6A54E" w14:textId="78B90A72" w:rsidR="001F72EA" w:rsidRDefault="007E3F12" w:rsidP="007E3F12">
      <w:pPr>
        <w:ind w:firstLine="480"/>
        <w:rPr>
          <w:b/>
        </w:rPr>
      </w:pPr>
      <w:r>
        <w:t>6.0.</w:t>
      </w:r>
      <w:r w:rsidR="00E1110A">
        <w:rPr>
          <w:rFonts w:hint="eastAsia"/>
        </w:rPr>
        <w:t>6</w:t>
      </w:r>
      <w:r w:rsidR="00BC2ADC">
        <w:t xml:space="preserve">  </w:t>
      </w:r>
      <w:r w:rsidR="006C5E9B" w:rsidRPr="008C3F84">
        <w:rPr>
          <w:rFonts w:hint="eastAsia"/>
        </w:rPr>
        <w:t>商业综合体</w:t>
      </w:r>
      <w:r w:rsidR="008C3F84">
        <w:rPr>
          <w:rFonts w:hint="eastAsia"/>
        </w:rPr>
        <w:t>用能单位</w:t>
      </w:r>
      <w:r w:rsidR="00820879" w:rsidRPr="008C3F84">
        <w:rPr>
          <w:rFonts w:hint="eastAsia"/>
        </w:rPr>
        <w:t>应按要求定期</w:t>
      </w:r>
      <w:r w:rsidR="008C3F84">
        <w:rPr>
          <w:rFonts w:hint="eastAsia"/>
        </w:rPr>
        <w:t>向节能主管部门</w:t>
      </w:r>
      <w:r w:rsidR="00820879" w:rsidRPr="008C3F84">
        <w:rPr>
          <w:rFonts w:hint="eastAsia"/>
        </w:rPr>
        <w:t>报</w:t>
      </w:r>
      <w:r w:rsidR="008C3F84">
        <w:rPr>
          <w:rFonts w:hint="eastAsia"/>
        </w:rPr>
        <w:t>送</w:t>
      </w:r>
      <w:r w:rsidR="00820879" w:rsidRPr="008C3F84">
        <w:rPr>
          <w:rFonts w:hint="eastAsia"/>
        </w:rPr>
        <w:t>能耗统计数据和能源利用状况报告</w:t>
      </w:r>
      <w:r w:rsidR="00F438B1">
        <w:rPr>
          <w:rFonts w:hint="eastAsia"/>
        </w:rPr>
        <w:t>，</w:t>
      </w:r>
      <w:r w:rsidR="00F438B1" w:rsidRPr="00F438B1">
        <w:t>上报数据应真实、准确、完整、及时，不得提供虚假数据，不得迟报、拒报。</w:t>
      </w:r>
    </w:p>
    <w:p w14:paraId="4CC0885D" w14:textId="46E6A536" w:rsidR="007C57E2" w:rsidRDefault="007E3F12" w:rsidP="007E3F12">
      <w:pPr>
        <w:ind w:firstLine="480"/>
        <w:rPr>
          <w:b/>
        </w:rPr>
      </w:pPr>
      <w:r>
        <w:t>6.0.</w:t>
      </w:r>
      <w:r w:rsidR="00E1110A">
        <w:rPr>
          <w:rFonts w:hint="eastAsia"/>
        </w:rPr>
        <w:t>7</w:t>
      </w:r>
      <w:r w:rsidR="00BC2ADC">
        <w:t xml:space="preserve">  </w:t>
      </w:r>
      <w:r w:rsidR="00B40CF1" w:rsidRPr="007C57E2">
        <w:t>对超过用能指标的</w:t>
      </w:r>
      <w:r w:rsidR="00B40CF1" w:rsidRPr="008C3F84">
        <w:rPr>
          <w:rFonts w:hint="eastAsia"/>
        </w:rPr>
        <w:t>商业综合体</w:t>
      </w:r>
      <w:r w:rsidR="00B40CF1">
        <w:rPr>
          <w:rFonts w:hint="eastAsia"/>
        </w:rPr>
        <w:t>用能单位</w:t>
      </w:r>
      <w:r w:rsidR="00B40CF1" w:rsidRPr="007C57E2">
        <w:t>，</w:t>
      </w:r>
      <w:r w:rsidR="00B40CF1">
        <w:rPr>
          <w:rFonts w:hint="eastAsia"/>
        </w:rPr>
        <w:t>节能主管部门</w:t>
      </w:r>
      <w:r w:rsidR="00B40CF1" w:rsidRPr="007C57E2">
        <w:t>应责令</w:t>
      </w:r>
      <w:r w:rsidR="00B40CF1">
        <w:rPr>
          <w:rFonts w:hint="eastAsia"/>
        </w:rPr>
        <w:t>其</w:t>
      </w:r>
      <w:r w:rsidR="00B40CF1" w:rsidRPr="007C57E2">
        <w:t>实施能源审计，并要求其限期整改。</w:t>
      </w:r>
    </w:p>
    <w:p w14:paraId="113C2843" w14:textId="7D4A9E3E" w:rsidR="00820879" w:rsidRDefault="007E3F12" w:rsidP="007E3F12">
      <w:pPr>
        <w:ind w:firstLine="480"/>
        <w:rPr>
          <w:b/>
        </w:rPr>
      </w:pPr>
      <w:r>
        <w:t>6.0.</w:t>
      </w:r>
      <w:r w:rsidR="00E1110A">
        <w:rPr>
          <w:rFonts w:hint="eastAsia"/>
        </w:rPr>
        <w:t>8</w:t>
      </w:r>
      <w:r w:rsidR="00BC2ADC">
        <w:t xml:space="preserve"> </w:t>
      </w:r>
      <w:r w:rsidR="00B32E60" w:rsidRPr="007C57E2">
        <w:t>超过用能指标的</w:t>
      </w:r>
      <w:r w:rsidR="00B32E60" w:rsidRPr="008C3F84">
        <w:rPr>
          <w:rFonts w:hint="eastAsia"/>
        </w:rPr>
        <w:t>商业综合体</w:t>
      </w:r>
      <w:r w:rsidR="00B32E60">
        <w:rPr>
          <w:rFonts w:hint="eastAsia"/>
        </w:rPr>
        <w:t>用能单位</w:t>
      </w:r>
      <w:r w:rsidR="00B32E60" w:rsidRPr="007C57E2">
        <w:t>，</w:t>
      </w:r>
      <w:r w:rsidR="00B32E60">
        <w:rPr>
          <w:rFonts w:hint="eastAsia"/>
        </w:rPr>
        <w:t>应</w:t>
      </w:r>
      <w:r w:rsidR="00C65BEC">
        <w:rPr>
          <w:rFonts w:hint="eastAsia"/>
        </w:rPr>
        <w:t>进行</w:t>
      </w:r>
      <w:r w:rsidR="00B32E60">
        <w:rPr>
          <w:rFonts w:hint="eastAsia"/>
        </w:rPr>
        <w:t>能源审计</w:t>
      </w:r>
      <w:r w:rsidR="00C65BEC">
        <w:rPr>
          <w:rFonts w:hint="eastAsia"/>
        </w:rPr>
        <w:t>和</w:t>
      </w:r>
      <w:r w:rsidR="00B32E60">
        <w:rPr>
          <w:rFonts w:hint="eastAsia"/>
        </w:rPr>
        <w:t>节能改造，</w:t>
      </w:r>
      <w:r w:rsidR="00B32E60" w:rsidRPr="00B40CF1">
        <w:t>并</w:t>
      </w:r>
      <w:r w:rsidR="00B32E60">
        <w:rPr>
          <w:rFonts w:hint="eastAsia"/>
        </w:rPr>
        <w:t>应</w:t>
      </w:r>
      <w:r w:rsidR="00B32E60" w:rsidRPr="00B40CF1">
        <w:t>对改造后的节能效果进行评估</w:t>
      </w:r>
      <w:r w:rsidR="00820879" w:rsidRPr="008C3F84">
        <w:rPr>
          <w:rFonts w:hint="eastAsia"/>
        </w:rPr>
        <w:t>。</w:t>
      </w:r>
    </w:p>
    <w:p w14:paraId="4BE148F6" w14:textId="3A45C22C" w:rsidR="00820879" w:rsidRPr="008C3F84" w:rsidRDefault="007E3F12" w:rsidP="007E3F12">
      <w:pPr>
        <w:ind w:firstLine="480"/>
        <w:rPr>
          <w:b/>
        </w:rPr>
      </w:pPr>
      <w:r>
        <w:lastRenderedPageBreak/>
        <w:t>6.0.</w:t>
      </w:r>
      <w:r w:rsidR="00E1110A">
        <w:rPr>
          <w:rFonts w:hint="eastAsia"/>
        </w:rPr>
        <w:t>9</w:t>
      </w:r>
      <w:r w:rsidR="00BC2ADC">
        <w:t xml:space="preserve"> </w:t>
      </w:r>
      <w:r w:rsidR="00B20DE3" w:rsidRPr="008C3F84">
        <w:rPr>
          <w:rFonts w:hint="eastAsia"/>
        </w:rPr>
        <w:t>商业综合体</w:t>
      </w:r>
      <w:r w:rsidR="008C3F84">
        <w:rPr>
          <w:rFonts w:hint="eastAsia"/>
        </w:rPr>
        <w:t>用能单位</w:t>
      </w:r>
      <w:r w:rsidR="00820879" w:rsidRPr="008C3F84">
        <w:rPr>
          <w:rFonts w:hint="eastAsia"/>
        </w:rPr>
        <w:t>宜</w:t>
      </w:r>
      <w:r w:rsidR="00260FA7" w:rsidRPr="008C3F84">
        <w:rPr>
          <w:rFonts w:hint="eastAsia"/>
        </w:rPr>
        <w:t>采用合同能源管理模式</w:t>
      </w:r>
      <w:r w:rsidR="00820879" w:rsidRPr="008C3F84">
        <w:rPr>
          <w:rFonts w:hint="eastAsia"/>
        </w:rPr>
        <w:t>实施节能改造并优化能源管理。</w:t>
      </w:r>
    </w:p>
    <w:p w14:paraId="1CB8EF2B" w14:textId="3CC75BFA" w:rsidR="00820879" w:rsidRPr="008C3F84" w:rsidRDefault="007E3F12" w:rsidP="007E3F12">
      <w:pPr>
        <w:ind w:firstLine="480"/>
        <w:rPr>
          <w:b/>
        </w:rPr>
      </w:pPr>
      <w:r>
        <w:t>6.0.</w:t>
      </w:r>
      <w:r w:rsidR="00E1110A">
        <w:rPr>
          <w:rFonts w:hint="eastAsia"/>
        </w:rPr>
        <w:t>10</w:t>
      </w:r>
      <w:r w:rsidR="00BC2ADC">
        <w:t xml:space="preserve"> </w:t>
      </w:r>
      <w:r w:rsidR="00B20DE3" w:rsidRPr="008C3F84">
        <w:rPr>
          <w:rFonts w:hint="eastAsia"/>
        </w:rPr>
        <w:t>商业综合体</w:t>
      </w:r>
      <w:r w:rsidR="008C3F84">
        <w:rPr>
          <w:rFonts w:hint="eastAsia"/>
        </w:rPr>
        <w:t>用能单位</w:t>
      </w:r>
      <w:r w:rsidR="00820879" w:rsidRPr="008C3F84">
        <w:rPr>
          <w:rFonts w:hint="eastAsia"/>
        </w:rPr>
        <w:t>应针对空调系统、照明系统、动力系统、冷冻冷藏设备等高耗能环节，</w:t>
      </w:r>
      <w:r w:rsidR="001F72EA">
        <w:rPr>
          <w:rFonts w:hint="eastAsia"/>
        </w:rPr>
        <w:t>积极</w:t>
      </w:r>
      <w:r w:rsidR="00820879" w:rsidRPr="008C3F84">
        <w:rPr>
          <w:rFonts w:hint="eastAsia"/>
        </w:rPr>
        <w:t>应用节能效果显著的新技术和新产品，提高能源利用效率。</w:t>
      </w:r>
    </w:p>
    <w:p w14:paraId="7DBC0A60" w14:textId="403385DE" w:rsidR="00B20DE3" w:rsidRDefault="007E3F12" w:rsidP="007E3F12">
      <w:pPr>
        <w:ind w:firstLine="480"/>
        <w:rPr>
          <w:b/>
        </w:rPr>
      </w:pPr>
      <w:r>
        <w:t>6.0.1</w:t>
      </w:r>
      <w:r w:rsidR="00E1110A">
        <w:rPr>
          <w:rFonts w:hint="eastAsia"/>
        </w:rPr>
        <w:t>1</w:t>
      </w:r>
      <w:r w:rsidR="00BC2ADC">
        <w:t xml:space="preserve">  </w:t>
      </w:r>
      <w:r w:rsidR="00B20DE3" w:rsidRPr="008C3F84">
        <w:rPr>
          <w:rFonts w:hint="eastAsia"/>
        </w:rPr>
        <w:t>商业综合体进行节能改造</w:t>
      </w:r>
      <w:r w:rsidR="00BF0ACE" w:rsidRPr="008C3F84">
        <w:rPr>
          <w:rFonts w:hint="eastAsia"/>
        </w:rPr>
        <w:t>时</w:t>
      </w:r>
      <w:r w:rsidR="00B20DE3" w:rsidRPr="008C3F84">
        <w:rPr>
          <w:rFonts w:hint="eastAsia"/>
        </w:rPr>
        <w:t>，有条件的场所应优先利用可再生能源和余热废热资源。</w:t>
      </w:r>
    </w:p>
    <w:p w14:paraId="1FFC0200" w14:textId="77777777" w:rsidR="00D54F3C" w:rsidRDefault="00D54F3C" w:rsidP="007249E7">
      <w:pPr>
        <w:ind w:firstLine="480"/>
        <w:sectPr w:rsidR="00D54F3C" w:rsidSect="006B3314">
          <w:footerReference w:type="default" r:id="rId23"/>
          <w:pgSz w:w="11906" w:h="16838"/>
          <w:pgMar w:top="1440" w:right="1800" w:bottom="1440" w:left="1800" w:header="708" w:footer="708" w:gutter="0"/>
          <w:pgNumType w:start="1"/>
          <w:cols w:space="708"/>
          <w:docGrid w:linePitch="360"/>
        </w:sectPr>
      </w:pPr>
    </w:p>
    <w:p w14:paraId="60E101AE" w14:textId="54A1B308" w:rsidR="005E4196" w:rsidRDefault="005E4196" w:rsidP="005E4196">
      <w:pPr>
        <w:pStyle w:val="2"/>
        <w:numPr>
          <w:ilvl w:val="0"/>
          <w:numId w:val="0"/>
        </w:numPr>
      </w:pPr>
      <w:bookmarkStart w:id="20" w:name="_Toc64983957"/>
      <w:r>
        <w:rPr>
          <w:rFonts w:hint="eastAsia"/>
        </w:rPr>
        <w:lastRenderedPageBreak/>
        <w:t>附录</w:t>
      </w:r>
      <w:r>
        <w:t xml:space="preserve">A </w:t>
      </w:r>
      <w:r w:rsidR="00C363AC">
        <w:t xml:space="preserve"> </w:t>
      </w:r>
      <w:r>
        <w:rPr>
          <w:rFonts w:hint="eastAsia"/>
        </w:rPr>
        <w:t>能耗折算系数</w:t>
      </w:r>
      <w:bookmarkEnd w:id="20"/>
    </w:p>
    <w:p w14:paraId="2D4340D6" w14:textId="16B9B25C" w:rsidR="005E4196" w:rsidRDefault="005E4196" w:rsidP="005E4196">
      <w:pPr>
        <w:ind w:firstLine="482"/>
        <w:jc w:val="center"/>
        <w:rPr>
          <w:rFonts w:ascii="Times New Roman" w:hAnsi="Times New Roman"/>
          <w:b/>
          <w:bCs/>
          <w:szCs w:val="21"/>
        </w:rPr>
      </w:pPr>
      <w:r>
        <w:rPr>
          <w:rFonts w:ascii="Times New Roman" w:hAnsi="Times New Roman" w:hint="eastAsia"/>
          <w:b/>
          <w:bCs/>
          <w:szCs w:val="21"/>
        </w:rPr>
        <w:t>表</w:t>
      </w:r>
      <w:r>
        <w:rPr>
          <w:rFonts w:ascii="Times New Roman" w:hAnsi="Times New Roman" w:hint="eastAsia"/>
          <w:b/>
          <w:bCs/>
          <w:szCs w:val="21"/>
        </w:rPr>
        <w:t xml:space="preserve"> </w:t>
      </w:r>
      <w:r>
        <w:rPr>
          <w:rFonts w:ascii="Times New Roman" w:hAnsi="Times New Roman"/>
          <w:b/>
          <w:bCs/>
          <w:szCs w:val="21"/>
        </w:rPr>
        <w:t xml:space="preserve"> A</w:t>
      </w:r>
      <w:r>
        <w:rPr>
          <w:rFonts w:ascii="Times New Roman" w:hAnsi="Times New Roman" w:hint="eastAsia"/>
          <w:b/>
          <w:bCs/>
          <w:szCs w:val="21"/>
        </w:rPr>
        <w:t>.0.1</w:t>
      </w:r>
      <w:r>
        <w:rPr>
          <w:rFonts w:ascii="Times New Roman" w:hAnsi="Times New Roman" w:hint="eastAsia"/>
          <w:b/>
          <w:bCs/>
          <w:szCs w:val="21"/>
        </w:rPr>
        <w:t>主要能源的等效电折算系数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1584"/>
        <w:gridCol w:w="1650"/>
        <w:gridCol w:w="3274"/>
      </w:tblGrid>
      <w:tr w:rsidR="00414394" w14:paraId="77474C04" w14:textId="77777777" w:rsidTr="000060C7">
        <w:trPr>
          <w:trHeight w:val="276"/>
          <w:jc w:val="center"/>
        </w:trPr>
        <w:tc>
          <w:tcPr>
            <w:tcW w:w="1078" w:type="pct"/>
            <w:vMerge w:val="restart"/>
            <w:shd w:val="clear" w:color="auto" w:fill="auto"/>
            <w:noWrap/>
            <w:vAlign w:val="center"/>
          </w:tcPr>
          <w:p w14:paraId="081B1362" w14:textId="77777777" w:rsidR="00414394" w:rsidRDefault="00414394" w:rsidP="000060C7">
            <w:pPr>
              <w:adjustRightInd/>
              <w:snapToGrid/>
              <w:ind w:firstLineChars="0" w:firstLine="0"/>
              <w:jc w:val="center"/>
              <w:rPr>
                <w:rFonts w:ascii="Times New Roman" w:hAnsi="Times New Roman" w:cs="宋体"/>
                <w:color w:val="000000"/>
              </w:rPr>
            </w:pPr>
            <w:r>
              <w:rPr>
                <w:rFonts w:ascii="Times New Roman" w:hAnsi="Times New Roman" w:cs="宋体" w:hint="eastAsia"/>
                <w:color w:val="000000"/>
              </w:rPr>
              <w:t>能源种类</w:t>
            </w:r>
          </w:p>
        </w:tc>
        <w:tc>
          <w:tcPr>
            <w:tcW w:w="955" w:type="pct"/>
            <w:vMerge w:val="restart"/>
            <w:vAlign w:val="center"/>
          </w:tcPr>
          <w:p w14:paraId="34C1F24B" w14:textId="69260E66" w:rsidR="00414394" w:rsidRDefault="00414394" w:rsidP="000060C7">
            <w:pPr>
              <w:adjustRightInd/>
              <w:snapToGrid/>
              <w:ind w:firstLineChars="0" w:firstLine="0"/>
              <w:jc w:val="center"/>
              <w:rPr>
                <w:rFonts w:ascii="Times New Roman" w:hAnsi="Times New Roman" w:cs="宋体"/>
                <w:color w:val="000000"/>
              </w:rPr>
            </w:pPr>
            <w:r>
              <w:rPr>
                <w:rFonts w:ascii="Times New Roman" w:hAnsi="Times New Roman" w:cs="宋体" w:hint="eastAsia"/>
                <w:color w:val="000000"/>
              </w:rPr>
              <w:t>实物量</w:t>
            </w:r>
          </w:p>
        </w:tc>
        <w:tc>
          <w:tcPr>
            <w:tcW w:w="994" w:type="pct"/>
            <w:vMerge w:val="restart"/>
            <w:shd w:val="clear" w:color="auto" w:fill="auto"/>
            <w:noWrap/>
            <w:vAlign w:val="center"/>
          </w:tcPr>
          <w:p w14:paraId="11C34E93" w14:textId="523E2298" w:rsidR="00414394" w:rsidRDefault="00414394" w:rsidP="000060C7">
            <w:pPr>
              <w:adjustRightInd/>
              <w:snapToGrid/>
              <w:ind w:firstLineChars="0" w:firstLine="0"/>
              <w:jc w:val="center"/>
              <w:rPr>
                <w:rFonts w:ascii="Times New Roman" w:hAnsi="Times New Roman" w:cs="宋体"/>
                <w:color w:val="000000"/>
              </w:rPr>
            </w:pPr>
            <w:r>
              <w:rPr>
                <w:rFonts w:ascii="Times New Roman" w:hAnsi="Times New Roman" w:cs="宋体" w:hint="eastAsia"/>
                <w:color w:val="000000"/>
              </w:rPr>
              <w:t>工作温度</w:t>
            </w:r>
            <w:r>
              <w:rPr>
                <w:rFonts w:ascii="Times New Roman" w:hAnsi="Times New Roman" w:cs="宋体" w:hint="eastAsia"/>
                <w:color w:val="000000"/>
              </w:rPr>
              <w:t>t/</w:t>
            </w:r>
            <w:r>
              <w:rPr>
                <w:rFonts w:ascii="Times New Roman" w:hAnsi="Times New Roman" w:cs="宋体" w:hint="eastAsia"/>
                <w:color w:val="000000"/>
              </w:rPr>
              <w:t>℃</w:t>
            </w:r>
          </w:p>
        </w:tc>
        <w:tc>
          <w:tcPr>
            <w:tcW w:w="1973" w:type="pct"/>
            <w:shd w:val="clear" w:color="auto" w:fill="auto"/>
            <w:noWrap/>
            <w:vAlign w:val="center"/>
          </w:tcPr>
          <w:p w14:paraId="0CAA2B2E" w14:textId="77777777" w:rsidR="00414394" w:rsidRDefault="00414394" w:rsidP="000060C7">
            <w:pPr>
              <w:adjustRightInd/>
              <w:snapToGrid/>
              <w:ind w:firstLineChars="0" w:firstLine="0"/>
              <w:jc w:val="center"/>
              <w:rPr>
                <w:rFonts w:ascii="Times New Roman" w:hAnsi="Times New Roman" w:cs="宋体"/>
                <w:color w:val="000000"/>
              </w:rPr>
            </w:pPr>
            <w:r>
              <w:rPr>
                <w:rFonts w:ascii="Times New Roman" w:hAnsi="Times New Roman" w:cs="宋体" w:hint="eastAsia"/>
                <w:color w:val="000000"/>
              </w:rPr>
              <w:t>单位数量能源对应的等效电</w:t>
            </w:r>
          </w:p>
        </w:tc>
      </w:tr>
      <w:tr w:rsidR="00414394" w14:paraId="59568D9D" w14:textId="77777777" w:rsidTr="000060C7">
        <w:trPr>
          <w:trHeight w:val="276"/>
          <w:jc w:val="center"/>
        </w:trPr>
        <w:tc>
          <w:tcPr>
            <w:tcW w:w="1078" w:type="pct"/>
            <w:vMerge/>
            <w:vAlign w:val="center"/>
          </w:tcPr>
          <w:p w14:paraId="053C1A29" w14:textId="77777777" w:rsidR="00414394" w:rsidRDefault="00414394" w:rsidP="000060C7">
            <w:pPr>
              <w:adjustRightInd/>
              <w:snapToGrid/>
              <w:ind w:firstLineChars="0" w:firstLine="0"/>
              <w:jc w:val="center"/>
              <w:rPr>
                <w:rFonts w:ascii="Times New Roman" w:hAnsi="Times New Roman" w:cs="宋体"/>
                <w:color w:val="000000"/>
              </w:rPr>
            </w:pPr>
          </w:p>
        </w:tc>
        <w:tc>
          <w:tcPr>
            <w:tcW w:w="955" w:type="pct"/>
            <w:vMerge/>
            <w:vAlign w:val="center"/>
          </w:tcPr>
          <w:p w14:paraId="2D7F5972" w14:textId="77777777" w:rsidR="00414394" w:rsidRDefault="00414394" w:rsidP="000060C7">
            <w:pPr>
              <w:adjustRightInd/>
              <w:snapToGrid/>
              <w:ind w:firstLineChars="0" w:firstLine="0"/>
              <w:jc w:val="center"/>
              <w:rPr>
                <w:rFonts w:ascii="Times New Roman" w:hAnsi="Times New Roman" w:cs="宋体"/>
                <w:color w:val="000000"/>
              </w:rPr>
            </w:pPr>
          </w:p>
        </w:tc>
        <w:tc>
          <w:tcPr>
            <w:tcW w:w="994" w:type="pct"/>
            <w:vMerge/>
            <w:vAlign w:val="center"/>
          </w:tcPr>
          <w:p w14:paraId="6DC44F2A" w14:textId="0F78EF41" w:rsidR="00414394" w:rsidRDefault="00414394" w:rsidP="000060C7">
            <w:pPr>
              <w:adjustRightInd/>
              <w:snapToGrid/>
              <w:ind w:firstLineChars="0" w:firstLine="0"/>
              <w:jc w:val="center"/>
              <w:rPr>
                <w:rFonts w:ascii="Times New Roman" w:hAnsi="Times New Roman" w:cs="宋体"/>
                <w:color w:val="000000"/>
              </w:rPr>
            </w:pPr>
          </w:p>
        </w:tc>
        <w:tc>
          <w:tcPr>
            <w:tcW w:w="1973" w:type="pct"/>
            <w:shd w:val="clear" w:color="auto" w:fill="auto"/>
            <w:noWrap/>
            <w:vAlign w:val="center"/>
          </w:tcPr>
          <w:p w14:paraId="1F1DE7E9" w14:textId="77777777" w:rsidR="00414394" w:rsidRDefault="00414394" w:rsidP="000060C7">
            <w:pPr>
              <w:adjustRightInd/>
              <w:snapToGrid/>
              <w:ind w:firstLineChars="0" w:firstLine="0"/>
              <w:jc w:val="center"/>
              <w:rPr>
                <w:rFonts w:ascii="Times New Roman" w:hAnsi="Times New Roman" w:cs="宋体"/>
                <w:color w:val="000000"/>
              </w:rPr>
            </w:pPr>
            <w:r>
              <w:rPr>
                <w:rFonts w:ascii="Times New Roman" w:hAnsi="Times New Roman" w:cs="宋体" w:hint="eastAsia"/>
                <w:color w:val="000000"/>
              </w:rPr>
              <w:t>kWh</w:t>
            </w:r>
            <w:r w:rsidRPr="00FD6060">
              <w:rPr>
                <w:rFonts w:ascii="Times New Roman" w:hAnsi="Times New Roman" w:cs="宋体"/>
                <w:color w:val="000000"/>
                <w:vertAlign w:val="subscript"/>
              </w:rPr>
              <w:t>E</w:t>
            </w:r>
          </w:p>
        </w:tc>
      </w:tr>
      <w:tr w:rsidR="00414394" w14:paraId="0A383426" w14:textId="77777777" w:rsidTr="000060C7">
        <w:trPr>
          <w:trHeight w:val="276"/>
          <w:jc w:val="center"/>
        </w:trPr>
        <w:tc>
          <w:tcPr>
            <w:tcW w:w="1078" w:type="pct"/>
            <w:shd w:val="clear" w:color="auto" w:fill="auto"/>
            <w:noWrap/>
            <w:vAlign w:val="center"/>
          </w:tcPr>
          <w:p w14:paraId="6883B42C" w14:textId="77777777" w:rsidR="00414394" w:rsidRDefault="00414394" w:rsidP="000060C7">
            <w:pPr>
              <w:adjustRightInd/>
              <w:snapToGrid/>
              <w:ind w:firstLineChars="0" w:firstLine="0"/>
              <w:jc w:val="center"/>
              <w:rPr>
                <w:rFonts w:ascii="Times New Roman" w:hAnsi="Times New Roman" w:cs="宋体"/>
                <w:color w:val="000000"/>
              </w:rPr>
            </w:pPr>
            <w:r>
              <w:rPr>
                <w:rFonts w:ascii="Times New Roman" w:hAnsi="Times New Roman" w:cs="宋体" w:hint="eastAsia"/>
                <w:color w:val="000000"/>
              </w:rPr>
              <w:t>电力</w:t>
            </w:r>
          </w:p>
        </w:tc>
        <w:tc>
          <w:tcPr>
            <w:tcW w:w="955" w:type="pct"/>
            <w:vAlign w:val="center"/>
          </w:tcPr>
          <w:p w14:paraId="0892E0C6" w14:textId="1E3C7024" w:rsidR="00414394" w:rsidRDefault="00414394" w:rsidP="000060C7">
            <w:pPr>
              <w:adjustRightInd/>
              <w:snapToGrid/>
              <w:ind w:firstLineChars="0" w:firstLine="0"/>
              <w:jc w:val="center"/>
              <w:rPr>
                <w:rFonts w:ascii="Times New Roman" w:hAnsi="Times New Roman" w:cs="宋体"/>
                <w:color w:val="000000"/>
              </w:rPr>
            </w:pPr>
            <w:r>
              <w:rPr>
                <w:rFonts w:ascii="Times New Roman" w:hAnsi="Times New Roman" w:cs="宋体" w:hint="eastAsia"/>
                <w:color w:val="000000"/>
              </w:rPr>
              <w:t>1kWh</w:t>
            </w:r>
          </w:p>
        </w:tc>
        <w:tc>
          <w:tcPr>
            <w:tcW w:w="994" w:type="pct"/>
            <w:shd w:val="clear" w:color="auto" w:fill="auto"/>
            <w:noWrap/>
            <w:vAlign w:val="center"/>
          </w:tcPr>
          <w:p w14:paraId="1FA3EAA8" w14:textId="321AF58B" w:rsidR="00414394" w:rsidRDefault="00414394" w:rsidP="000060C7">
            <w:pPr>
              <w:adjustRightInd/>
              <w:snapToGrid/>
              <w:ind w:firstLineChars="0" w:firstLine="0"/>
              <w:jc w:val="center"/>
              <w:rPr>
                <w:rFonts w:ascii="Times New Roman" w:hAnsi="Times New Roman" w:cs="宋体"/>
                <w:color w:val="000000"/>
              </w:rPr>
            </w:pPr>
            <w:r>
              <w:rPr>
                <w:rFonts w:ascii="Times New Roman" w:hAnsi="Times New Roman" w:cs="宋体" w:hint="eastAsia"/>
                <w:color w:val="000000"/>
              </w:rPr>
              <w:t>—</w:t>
            </w:r>
          </w:p>
        </w:tc>
        <w:tc>
          <w:tcPr>
            <w:tcW w:w="1973" w:type="pct"/>
            <w:shd w:val="clear" w:color="auto" w:fill="auto"/>
            <w:noWrap/>
            <w:vAlign w:val="center"/>
          </w:tcPr>
          <w:p w14:paraId="6E6DED5E" w14:textId="77777777" w:rsidR="00414394" w:rsidRDefault="00414394" w:rsidP="000060C7">
            <w:pPr>
              <w:adjustRightInd/>
              <w:snapToGrid/>
              <w:ind w:firstLineChars="0" w:firstLine="0"/>
              <w:jc w:val="center"/>
              <w:rPr>
                <w:rFonts w:ascii="Times New Roman" w:hAnsi="Times New Roman" w:cs="宋体"/>
                <w:color w:val="000000"/>
              </w:rPr>
            </w:pPr>
            <w:r>
              <w:rPr>
                <w:rFonts w:ascii="Times New Roman" w:hAnsi="Times New Roman" w:cs="宋体" w:hint="eastAsia"/>
                <w:color w:val="000000"/>
              </w:rPr>
              <w:t>1.000</w:t>
            </w:r>
          </w:p>
        </w:tc>
      </w:tr>
      <w:tr w:rsidR="00414394" w14:paraId="47025511" w14:textId="77777777" w:rsidTr="000060C7">
        <w:trPr>
          <w:trHeight w:val="276"/>
          <w:jc w:val="center"/>
        </w:trPr>
        <w:tc>
          <w:tcPr>
            <w:tcW w:w="1078" w:type="pct"/>
            <w:shd w:val="clear" w:color="auto" w:fill="auto"/>
            <w:noWrap/>
            <w:vAlign w:val="center"/>
          </w:tcPr>
          <w:p w14:paraId="2935592B" w14:textId="77777777" w:rsidR="00414394" w:rsidRDefault="00414394" w:rsidP="000060C7">
            <w:pPr>
              <w:adjustRightInd/>
              <w:snapToGrid/>
              <w:ind w:firstLineChars="0" w:firstLine="0"/>
              <w:jc w:val="center"/>
              <w:rPr>
                <w:rFonts w:ascii="Times New Roman" w:hAnsi="Times New Roman" w:cs="宋体"/>
                <w:color w:val="000000"/>
              </w:rPr>
            </w:pPr>
            <w:r>
              <w:rPr>
                <w:rFonts w:ascii="Times New Roman" w:hAnsi="Times New Roman" w:cs="宋体" w:hint="eastAsia"/>
                <w:color w:val="000000"/>
              </w:rPr>
              <w:t>天然气</w:t>
            </w:r>
          </w:p>
        </w:tc>
        <w:tc>
          <w:tcPr>
            <w:tcW w:w="955" w:type="pct"/>
            <w:vAlign w:val="center"/>
          </w:tcPr>
          <w:p w14:paraId="110FEAA4" w14:textId="3F4DBE6A" w:rsidR="00414394" w:rsidRDefault="00414394" w:rsidP="000060C7">
            <w:pPr>
              <w:adjustRightInd/>
              <w:snapToGrid/>
              <w:ind w:firstLineChars="0" w:firstLine="0"/>
              <w:jc w:val="center"/>
              <w:rPr>
                <w:rFonts w:ascii="Times New Roman" w:hAnsi="Times New Roman" w:cs="宋体"/>
                <w:color w:val="000000"/>
              </w:rPr>
            </w:pPr>
            <w:r>
              <w:rPr>
                <w:rFonts w:ascii="Times New Roman" w:hAnsi="Times New Roman" w:cs="宋体" w:hint="eastAsia"/>
                <w:color w:val="000000"/>
              </w:rPr>
              <w:t>1m</w:t>
            </w:r>
            <w:r w:rsidRPr="00414394">
              <w:rPr>
                <w:rFonts w:ascii="Times New Roman" w:hAnsi="Times New Roman" w:cs="宋体" w:hint="eastAsia"/>
                <w:color w:val="000000"/>
                <w:vertAlign w:val="superscript"/>
              </w:rPr>
              <w:t>3</w:t>
            </w:r>
          </w:p>
        </w:tc>
        <w:tc>
          <w:tcPr>
            <w:tcW w:w="994" w:type="pct"/>
            <w:shd w:val="clear" w:color="auto" w:fill="auto"/>
            <w:noWrap/>
            <w:vAlign w:val="center"/>
          </w:tcPr>
          <w:p w14:paraId="7EAA8568" w14:textId="05C5D1D7" w:rsidR="00414394" w:rsidRDefault="00414394" w:rsidP="000060C7">
            <w:pPr>
              <w:adjustRightInd/>
              <w:snapToGrid/>
              <w:ind w:firstLineChars="0" w:firstLine="0"/>
              <w:jc w:val="center"/>
              <w:rPr>
                <w:rFonts w:ascii="Times New Roman" w:hAnsi="Times New Roman" w:cs="宋体"/>
                <w:color w:val="000000"/>
              </w:rPr>
            </w:pPr>
            <w:r>
              <w:rPr>
                <w:rFonts w:ascii="Times New Roman" w:hAnsi="Times New Roman" w:cs="宋体" w:hint="eastAsia"/>
                <w:color w:val="000000"/>
              </w:rPr>
              <w:t>1500</w:t>
            </w:r>
          </w:p>
        </w:tc>
        <w:tc>
          <w:tcPr>
            <w:tcW w:w="1973" w:type="pct"/>
            <w:shd w:val="clear" w:color="auto" w:fill="auto"/>
            <w:noWrap/>
            <w:vAlign w:val="center"/>
          </w:tcPr>
          <w:p w14:paraId="6ECCEF39" w14:textId="77777777" w:rsidR="00414394" w:rsidRDefault="00414394" w:rsidP="000060C7">
            <w:pPr>
              <w:adjustRightInd/>
              <w:snapToGrid/>
              <w:ind w:firstLineChars="0" w:firstLine="0"/>
              <w:jc w:val="center"/>
              <w:rPr>
                <w:rFonts w:ascii="Times New Roman" w:hAnsi="Times New Roman" w:cs="宋体"/>
                <w:color w:val="000000"/>
              </w:rPr>
            </w:pPr>
            <w:r>
              <w:rPr>
                <w:rFonts w:ascii="Times New Roman" w:hAnsi="Times New Roman" w:cs="宋体" w:hint="eastAsia"/>
                <w:color w:val="000000"/>
              </w:rPr>
              <w:t>7.131</w:t>
            </w:r>
          </w:p>
        </w:tc>
      </w:tr>
      <w:tr w:rsidR="00414394" w14:paraId="67991D6A" w14:textId="77777777" w:rsidTr="000060C7">
        <w:trPr>
          <w:trHeight w:val="276"/>
          <w:jc w:val="center"/>
        </w:trPr>
        <w:tc>
          <w:tcPr>
            <w:tcW w:w="1078" w:type="pct"/>
            <w:shd w:val="clear" w:color="auto" w:fill="auto"/>
            <w:noWrap/>
            <w:vAlign w:val="center"/>
          </w:tcPr>
          <w:p w14:paraId="0D7E0483" w14:textId="77777777" w:rsidR="00414394" w:rsidRDefault="00414394" w:rsidP="000060C7">
            <w:pPr>
              <w:adjustRightInd/>
              <w:snapToGrid/>
              <w:ind w:firstLineChars="0" w:firstLine="0"/>
              <w:jc w:val="center"/>
              <w:rPr>
                <w:rFonts w:ascii="Times New Roman" w:hAnsi="Times New Roman" w:cs="宋体"/>
                <w:color w:val="000000"/>
              </w:rPr>
            </w:pPr>
            <w:r>
              <w:rPr>
                <w:rFonts w:ascii="Times New Roman" w:hAnsi="Times New Roman" w:cs="宋体" w:hint="eastAsia"/>
                <w:color w:val="000000"/>
              </w:rPr>
              <w:t>热水</w:t>
            </w:r>
            <w:r>
              <w:rPr>
                <w:rFonts w:ascii="Times New Roman" w:hAnsi="Times New Roman" w:cs="宋体" w:hint="eastAsia"/>
                <w:color w:val="000000"/>
                <w:vertAlign w:val="superscript"/>
              </w:rPr>
              <w:t>a</w:t>
            </w:r>
          </w:p>
        </w:tc>
        <w:tc>
          <w:tcPr>
            <w:tcW w:w="955" w:type="pct"/>
            <w:vAlign w:val="center"/>
          </w:tcPr>
          <w:p w14:paraId="3EA04A83" w14:textId="1B719AF7" w:rsidR="00414394" w:rsidRDefault="00414394" w:rsidP="000060C7">
            <w:pPr>
              <w:adjustRightInd/>
              <w:snapToGrid/>
              <w:ind w:firstLineChars="0" w:firstLine="0"/>
              <w:jc w:val="center"/>
              <w:rPr>
                <w:rFonts w:ascii="Times New Roman" w:hAnsi="Times New Roman" w:cs="宋体"/>
                <w:color w:val="000000"/>
              </w:rPr>
            </w:pPr>
            <w:r>
              <w:rPr>
                <w:rFonts w:ascii="Times New Roman" w:hAnsi="Times New Roman" w:cs="宋体" w:hint="eastAsia"/>
                <w:color w:val="000000"/>
              </w:rPr>
              <w:t>1</w:t>
            </w:r>
            <w:r>
              <w:rPr>
                <w:rFonts w:ascii="Times New Roman" w:hAnsi="Times New Roman" w:cs="宋体"/>
                <w:color w:val="000000"/>
              </w:rPr>
              <w:t>MJ</w:t>
            </w:r>
          </w:p>
        </w:tc>
        <w:tc>
          <w:tcPr>
            <w:tcW w:w="994" w:type="pct"/>
            <w:shd w:val="clear" w:color="auto" w:fill="auto"/>
            <w:noWrap/>
            <w:vAlign w:val="center"/>
          </w:tcPr>
          <w:p w14:paraId="367FD5F4" w14:textId="2AA95EA3" w:rsidR="00414394" w:rsidRDefault="00414394" w:rsidP="000060C7">
            <w:pPr>
              <w:adjustRightInd/>
              <w:snapToGrid/>
              <w:ind w:firstLineChars="0" w:firstLine="0"/>
              <w:jc w:val="center"/>
              <w:rPr>
                <w:rFonts w:ascii="Times New Roman" w:hAnsi="Times New Roman" w:cs="宋体"/>
                <w:color w:val="000000"/>
              </w:rPr>
            </w:pPr>
            <w:r>
              <w:rPr>
                <w:rFonts w:ascii="Times New Roman" w:hAnsi="Times New Roman" w:cs="宋体" w:hint="eastAsia"/>
                <w:color w:val="000000"/>
              </w:rPr>
              <w:t>95/70</w:t>
            </w:r>
          </w:p>
        </w:tc>
        <w:tc>
          <w:tcPr>
            <w:tcW w:w="1973" w:type="pct"/>
            <w:shd w:val="clear" w:color="auto" w:fill="auto"/>
            <w:noWrap/>
            <w:vAlign w:val="center"/>
          </w:tcPr>
          <w:p w14:paraId="613FCC9A" w14:textId="77777777" w:rsidR="00414394" w:rsidRDefault="00414394" w:rsidP="000060C7">
            <w:pPr>
              <w:adjustRightInd/>
              <w:snapToGrid/>
              <w:ind w:firstLineChars="0" w:firstLine="0"/>
              <w:jc w:val="center"/>
              <w:rPr>
                <w:rFonts w:ascii="Times New Roman" w:hAnsi="Times New Roman" w:cs="宋体"/>
                <w:color w:val="000000"/>
              </w:rPr>
            </w:pPr>
            <w:r>
              <w:rPr>
                <w:rFonts w:ascii="Times New Roman" w:hAnsi="Times New Roman" w:cs="宋体" w:hint="eastAsia"/>
                <w:color w:val="000000"/>
              </w:rPr>
              <w:t>0.06435</w:t>
            </w:r>
          </w:p>
        </w:tc>
      </w:tr>
      <w:tr w:rsidR="00414394" w14:paraId="05747559" w14:textId="77777777" w:rsidTr="000060C7">
        <w:trPr>
          <w:trHeight w:val="276"/>
          <w:jc w:val="center"/>
        </w:trPr>
        <w:tc>
          <w:tcPr>
            <w:tcW w:w="1078" w:type="pct"/>
            <w:shd w:val="clear" w:color="auto" w:fill="auto"/>
            <w:noWrap/>
            <w:vAlign w:val="center"/>
          </w:tcPr>
          <w:p w14:paraId="780A53CE" w14:textId="77777777" w:rsidR="00414394" w:rsidRDefault="00414394" w:rsidP="000060C7">
            <w:pPr>
              <w:adjustRightInd/>
              <w:snapToGrid/>
              <w:ind w:firstLineChars="0" w:firstLine="0"/>
              <w:jc w:val="center"/>
              <w:rPr>
                <w:rFonts w:ascii="Times New Roman" w:hAnsi="Times New Roman" w:cs="宋体"/>
                <w:color w:val="000000"/>
              </w:rPr>
            </w:pPr>
            <w:r>
              <w:rPr>
                <w:rFonts w:ascii="Times New Roman" w:hAnsi="Times New Roman" w:cs="宋体" w:hint="eastAsia"/>
                <w:color w:val="000000"/>
              </w:rPr>
              <w:t>热水</w:t>
            </w:r>
            <w:r>
              <w:rPr>
                <w:rFonts w:ascii="Times New Roman" w:hAnsi="Times New Roman" w:cs="宋体" w:hint="eastAsia"/>
                <w:color w:val="000000"/>
                <w:vertAlign w:val="superscript"/>
              </w:rPr>
              <w:t>a</w:t>
            </w:r>
          </w:p>
        </w:tc>
        <w:tc>
          <w:tcPr>
            <w:tcW w:w="955" w:type="pct"/>
            <w:vAlign w:val="center"/>
          </w:tcPr>
          <w:p w14:paraId="00F2D346" w14:textId="7BD35C30" w:rsidR="00414394" w:rsidRDefault="00414394" w:rsidP="000060C7">
            <w:pPr>
              <w:adjustRightInd/>
              <w:snapToGrid/>
              <w:ind w:firstLineChars="0" w:firstLine="0"/>
              <w:jc w:val="center"/>
              <w:rPr>
                <w:rFonts w:ascii="Times New Roman" w:hAnsi="Times New Roman" w:cs="宋体"/>
                <w:color w:val="000000"/>
              </w:rPr>
            </w:pPr>
            <w:r w:rsidRPr="008444A4">
              <w:rPr>
                <w:rFonts w:ascii="Times New Roman" w:hAnsi="Times New Roman" w:cs="宋体" w:hint="eastAsia"/>
                <w:color w:val="000000"/>
              </w:rPr>
              <w:t>1</w:t>
            </w:r>
            <w:r w:rsidRPr="008444A4">
              <w:rPr>
                <w:rFonts w:ascii="Times New Roman" w:hAnsi="Times New Roman" w:cs="宋体"/>
                <w:color w:val="000000"/>
              </w:rPr>
              <w:t>MJ</w:t>
            </w:r>
          </w:p>
        </w:tc>
        <w:tc>
          <w:tcPr>
            <w:tcW w:w="994" w:type="pct"/>
            <w:shd w:val="clear" w:color="auto" w:fill="auto"/>
            <w:noWrap/>
            <w:vAlign w:val="center"/>
          </w:tcPr>
          <w:p w14:paraId="3F3E000B" w14:textId="26575F61" w:rsidR="00414394" w:rsidRDefault="00414394" w:rsidP="000060C7">
            <w:pPr>
              <w:adjustRightInd/>
              <w:snapToGrid/>
              <w:ind w:firstLineChars="0" w:firstLine="0"/>
              <w:jc w:val="center"/>
              <w:rPr>
                <w:rFonts w:ascii="Times New Roman" w:hAnsi="Times New Roman" w:cs="宋体"/>
                <w:color w:val="000000"/>
              </w:rPr>
            </w:pPr>
            <w:r>
              <w:rPr>
                <w:rFonts w:ascii="Times New Roman" w:hAnsi="Times New Roman" w:cs="宋体" w:hint="eastAsia"/>
                <w:color w:val="000000"/>
              </w:rPr>
              <w:t>50/40</w:t>
            </w:r>
          </w:p>
        </w:tc>
        <w:tc>
          <w:tcPr>
            <w:tcW w:w="1973" w:type="pct"/>
            <w:shd w:val="clear" w:color="auto" w:fill="auto"/>
            <w:noWrap/>
            <w:vAlign w:val="center"/>
          </w:tcPr>
          <w:p w14:paraId="489489BA" w14:textId="77777777" w:rsidR="00414394" w:rsidRDefault="00414394" w:rsidP="000060C7">
            <w:pPr>
              <w:adjustRightInd/>
              <w:snapToGrid/>
              <w:ind w:firstLineChars="0" w:firstLine="0"/>
              <w:jc w:val="center"/>
              <w:rPr>
                <w:rFonts w:ascii="Times New Roman" w:hAnsi="Times New Roman" w:cs="宋体"/>
                <w:color w:val="000000"/>
              </w:rPr>
            </w:pPr>
            <w:r>
              <w:rPr>
                <w:rFonts w:ascii="Times New Roman" w:hAnsi="Times New Roman" w:cs="宋体" w:hint="eastAsia"/>
                <w:color w:val="000000"/>
              </w:rPr>
              <w:t>0.03927</w:t>
            </w:r>
          </w:p>
        </w:tc>
      </w:tr>
      <w:tr w:rsidR="00414394" w14:paraId="2AE5F5C6" w14:textId="77777777" w:rsidTr="000060C7">
        <w:trPr>
          <w:trHeight w:val="276"/>
          <w:jc w:val="center"/>
        </w:trPr>
        <w:tc>
          <w:tcPr>
            <w:tcW w:w="1078" w:type="pct"/>
            <w:shd w:val="clear" w:color="auto" w:fill="auto"/>
            <w:noWrap/>
            <w:vAlign w:val="center"/>
          </w:tcPr>
          <w:p w14:paraId="5FC68377" w14:textId="77777777" w:rsidR="00414394" w:rsidRDefault="00414394" w:rsidP="000060C7">
            <w:pPr>
              <w:adjustRightInd/>
              <w:snapToGrid/>
              <w:ind w:firstLineChars="0" w:firstLine="0"/>
              <w:jc w:val="center"/>
              <w:rPr>
                <w:rFonts w:ascii="Times New Roman" w:hAnsi="Times New Roman" w:cs="宋体"/>
                <w:color w:val="000000"/>
              </w:rPr>
            </w:pPr>
            <w:r>
              <w:rPr>
                <w:rFonts w:ascii="Times New Roman" w:hAnsi="Times New Roman" w:cs="宋体" w:hint="eastAsia"/>
                <w:color w:val="000000"/>
              </w:rPr>
              <w:t>饱和蒸汽</w:t>
            </w:r>
            <w:r>
              <w:rPr>
                <w:rFonts w:ascii="Times New Roman" w:hAnsi="Times New Roman" w:cs="宋体" w:hint="eastAsia"/>
                <w:color w:val="000000"/>
                <w:vertAlign w:val="superscript"/>
              </w:rPr>
              <w:t>b</w:t>
            </w:r>
          </w:p>
        </w:tc>
        <w:tc>
          <w:tcPr>
            <w:tcW w:w="955" w:type="pct"/>
            <w:vAlign w:val="center"/>
          </w:tcPr>
          <w:p w14:paraId="564A2405" w14:textId="768488BB" w:rsidR="00414394" w:rsidRDefault="00414394" w:rsidP="000060C7">
            <w:pPr>
              <w:adjustRightInd/>
              <w:snapToGrid/>
              <w:ind w:firstLineChars="0" w:firstLine="0"/>
              <w:jc w:val="center"/>
              <w:rPr>
                <w:rFonts w:ascii="Times New Roman" w:hAnsi="Times New Roman" w:cs="宋体"/>
                <w:color w:val="000000"/>
              </w:rPr>
            </w:pPr>
            <w:r w:rsidRPr="008444A4">
              <w:rPr>
                <w:rFonts w:ascii="Times New Roman" w:hAnsi="Times New Roman" w:cs="宋体" w:hint="eastAsia"/>
                <w:color w:val="000000"/>
              </w:rPr>
              <w:t>1</w:t>
            </w:r>
            <w:r w:rsidRPr="008444A4">
              <w:rPr>
                <w:rFonts w:ascii="Times New Roman" w:hAnsi="Times New Roman" w:cs="宋体"/>
                <w:color w:val="000000"/>
              </w:rPr>
              <w:t>MJ</w:t>
            </w:r>
          </w:p>
        </w:tc>
        <w:tc>
          <w:tcPr>
            <w:tcW w:w="994" w:type="pct"/>
            <w:shd w:val="clear" w:color="auto" w:fill="auto"/>
            <w:noWrap/>
            <w:vAlign w:val="center"/>
          </w:tcPr>
          <w:p w14:paraId="5DAE458B" w14:textId="7E9FDF65" w:rsidR="00414394" w:rsidRDefault="00414394" w:rsidP="000060C7">
            <w:pPr>
              <w:adjustRightInd/>
              <w:snapToGrid/>
              <w:ind w:firstLineChars="0" w:firstLine="0"/>
              <w:jc w:val="center"/>
              <w:rPr>
                <w:rFonts w:ascii="Times New Roman" w:hAnsi="Times New Roman" w:cs="宋体"/>
                <w:color w:val="000000"/>
              </w:rPr>
            </w:pPr>
            <w:r>
              <w:rPr>
                <w:rFonts w:ascii="Times New Roman" w:hAnsi="Times New Roman" w:cs="宋体" w:hint="eastAsia"/>
                <w:color w:val="000000"/>
              </w:rPr>
              <w:t>180</w:t>
            </w:r>
            <w:r>
              <w:rPr>
                <w:rFonts w:ascii="Times New Roman" w:hAnsi="Times New Roman" w:cs="宋体" w:hint="eastAsia"/>
                <w:color w:val="000000"/>
              </w:rPr>
              <w:t>（</w:t>
            </w:r>
            <w:r>
              <w:rPr>
                <w:rFonts w:ascii="Times New Roman" w:hAnsi="Times New Roman" w:cs="宋体" w:hint="eastAsia"/>
                <w:color w:val="000000"/>
              </w:rPr>
              <w:t>1.0MPa)</w:t>
            </w:r>
          </w:p>
        </w:tc>
        <w:tc>
          <w:tcPr>
            <w:tcW w:w="1973" w:type="pct"/>
            <w:shd w:val="clear" w:color="auto" w:fill="auto"/>
            <w:noWrap/>
            <w:vAlign w:val="center"/>
          </w:tcPr>
          <w:p w14:paraId="01AED31F" w14:textId="77777777" w:rsidR="00414394" w:rsidRDefault="00414394" w:rsidP="000060C7">
            <w:pPr>
              <w:adjustRightInd/>
              <w:snapToGrid/>
              <w:ind w:firstLineChars="0" w:firstLine="0"/>
              <w:jc w:val="center"/>
              <w:rPr>
                <w:rFonts w:ascii="Times New Roman" w:hAnsi="Times New Roman" w:cs="宋体"/>
                <w:color w:val="000000"/>
              </w:rPr>
            </w:pPr>
            <w:r>
              <w:rPr>
                <w:rFonts w:ascii="Times New Roman" w:hAnsi="Times New Roman" w:cs="宋体" w:hint="eastAsia"/>
                <w:color w:val="000000"/>
              </w:rPr>
              <w:t>0.09778</w:t>
            </w:r>
          </w:p>
        </w:tc>
      </w:tr>
      <w:tr w:rsidR="00414394" w14:paraId="0B003B5C" w14:textId="77777777" w:rsidTr="000060C7">
        <w:trPr>
          <w:trHeight w:val="276"/>
          <w:jc w:val="center"/>
        </w:trPr>
        <w:tc>
          <w:tcPr>
            <w:tcW w:w="1078" w:type="pct"/>
            <w:shd w:val="clear" w:color="auto" w:fill="auto"/>
            <w:noWrap/>
            <w:vAlign w:val="center"/>
          </w:tcPr>
          <w:p w14:paraId="53127889" w14:textId="77777777" w:rsidR="00414394" w:rsidRDefault="00414394" w:rsidP="000060C7">
            <w:pPr>
              <w:adjustRightInd/>
              <w:snapToGrid/>
              <w:ind w:firstLineChars="0" w:firstLine="0"/>
              <w:jc w:val="center"/>
              <w:rPr>
                <w:rFonts w:ascii="Times New Roman" w:hAnsi="Times New Roman" w:cs="宋体"/>
                <w:color w:val="000000"/>
              </w:rPr>
            </w:pPr>
            <w:r>
              <w:rPr>
                <w:rFonts w:ascii="Times New Roman" w:hAnsi="Times New Roman" w:cs="宋体" w:hint="eastAsia"/>
                <w:color w:val="000000"/>
              </w:rPr>
              <w:t>饱和蒸汽</w:t>
            </w:r>
            <w:r>
              <w:rPr>
                <w:rFonts w:ascii="Times New Roman" w:hAnsi="Times New Roman" w:cs="宋体" w:hint="eastAsia"/>
                <w:color w:val="000000"/>
                <w:vertAlign w:val="superscript"/>
              </w:rPr>
              <w:t>b</w:t>
            </w:r>
          </w:p>
        </w:tc>
        <w:tc>
          <w:tcPr>
            <w:tcW w:w="955" w:type="pct"/>
            <w:vAlign w:val="center"/>
          </w:tcPr>
          <w:p w14:paraId="4FBBB37E" w14:textId="557E7255" w:rsidR="00414394" w:rsidRDefault="00414394" w:rsidP="000060C7">
            <w:pPr>
              <w:adjustRightInd/>
              <w:snapToGrid/>
              <w:ind w:firstLineChars="0" w:firstLine="0"/>
              <w:jc w:val="center"/>
              <w:rPr>
                <w:rFonts w:ascii="Times New Roman" w:hAnsi="Times New Roman" w:cs="宋体"/>
                <w:color w:val="000000"/>
              </w:rPr>
            </w:pPr>
            <w:r w:rsidRPr="008444A4">
              <w:rPr>
                <w:rFonts w:ascii="Times New Roman" w:hAnsi="Times New Roman" w:cs="宋体" w:hint="eastAsia"/>
                <w:color w:val="000000"/>
              </w:rPr>
              <w:t>1</w:t>
            </w:r>
            <w:r w:rsidRPr="008444A4">
              <w:rPr>
                <w:rFonts w:ascii="Times New Roman" w:hAnsi="Times New Roman" w:cs="宋体"/>
                <w:color w:val="000000"/>
              </w:rPr>
              <w:t>MJ</w:t>
            </w:r>
          </w:p>
        </w:tc>
        <w:tc>
          <w:tcPr>
            <w:tcW w:w="994" w:type="pct"/>
            <w:shd w:val="clear" w:color="auto" w:fill="auto"/>
            <w:noWrap/>
            <w:vAlign w:val="center"/>
          </w:tcPr>
          <w:p w14:paraId="06A6F4D1" w14:textId="7554C2A2" w:rsidR="00414394" w:rsidRDefault="00414394" w:rsidP="000060C7">
            <w:pPr>
              <w:adjustRightInd/>
              <w:snapToGrid/>
              <w:ind w:firstLineChars="0" w:firstLine="0"/>
              <w:jc w:val="center"/>
              <w:rPr>
                <w:rFonts w:ascii="Times New Roman" w:hAnsi="Times New Roman" w:cs="宋体"/>
                <w:color w:val="000000"/>
              </w:rPr>
            </w:pPr>
            <w:r>
              <w:rPr>
                <w:rFonts w:ascii="Times New Roman" w:hAnsi="Times New Roman" w:cs="宋体" w:hint="eastAsia"/>
                <w:color w:val="000000"/>
              </w:rPr>
              <w:t>144</w:t>
            </w:r>
            <w:r>
              <w:rPr>
                <w:rFonts w:ascii="Times New Roman" w:hAnsi="Times New Roman" w:cs="宋体" w:hint="eastAsia"/>
                <w:color w:val="000000"/>
              </w:rPr>
              <w:t>（</w:t>
            </w:r>
            <w:r>
              <w:rPr>
                <w:rFonts w:ascii="Times New Roman" w:hAnsi="Times New Roman" w:cs="宋体" w:hint="eastAsia"/>
                <w:color w:val="000000"/>
              </w:rPr>
              <w:t>1.1MPa)</w:t>
            </w:r>
          </w:p>
        </w:tc>
        <w:tc>
          <w:tcPr>
            <w:tcW w:w="1973" w:type="pct"/>
            <w:shd w:val="clear" w:color="auto" w:fill="auto"/>
            <w:noWrap/>
            <w:vAlign w:val="center"/>
          </w:tcPr>
          <w:p w14:paraId="4E0AAF9F" w14:textId="77777777" w:rsidR="00414394" w:rsidRDefault="00414394" w:rsidP="000060C7">
            <w:pPr>
              <w:adjustRightInd/>
              <w:snapToGrid/>
              <w:ind w:firstLineChars="0" w:firstLine="0"/>
              <w:jc w:val="center"/>
              <w:rPr>
                <w:rFonts w:ascii="Times New Roman" w:hAnsi="Times New Roman" w:cs="宋体"/>
                <w:color w:val="000000"/>
              </w:rPr>
            </w:pPr>
            <w:r>
              <w:rPr>
                <w:rFonts w:ascii="Times New Roman" w:hAnsi="Times New Roman" w:cs="宋体" w:hint="eastAsia"/>
                <w:color w:val="000000"/>
              </w:rPr>
              <w:t>0.08667</w:t>
            </w:r>
          </w:p>
        </w:tc>
      </w:tr>
      <w:tr w:rsidR="00414394" w14:paraId="35CC1E98" w14:textId="77777777" w:rsidTr="000060C7">
        <w:trPr>
          <w:trHeight w:val="276"/>
          <w:jc w:val="center"/>
        </w:trPr>
        <w:tc>
          <w:tcPr>
            <w:tcW w:w="1078" w:type="pct"/>
            <w:shd w:val="clear" w:color="auto" w:fill="auto"/>
            <w:noWrap/>
            <w:vAlign w:val="center"/>
          </w:tcPr>
          <w:p w14:paraId="22F1EEAC" w14:textId="77777777" w:rsidR="00414394" w:rsidRDefault="00414394" w:rsidP="000060C7">
            <w:pPr>
              <w:adjustRightInd/>
              <w:snapToGrid/>
              <w:ind w:firstLineChars="0" w:firstLine="0"/>
              <w:jc w:val="center"/>
              <w:rPr>
                <w:rFonts w:ascii="Times New Roman" w:hAnsi="Times New Roman" w:cs="宋体"/>
                <w:color w:val="000000"/>
              </w:rPr>
            </w:pPr>
            <w:r>
              <w:rPr>
                <w:rFonts w:ascii="Times New Roman" w:hAnsi="Times New Roman" w:cs="宋体" w:hint="eastAsia"/>
                <w:color w:val="000000"/>
              </w:rPr>
              <w:t>饱和蒸汽</w:t>
            </w:r>
            <w:r>
              <w:rPr>
                <w:rFonts w:ascii="Times New Roman" w:hAnsi="Times New Roman" w:cs="宋体" w:hint="eastAsia"/>
                <w:color w:val="000000"/>
                <w:vertAlign w:val="superscript"/>
              </w:rPr>
              <w:t>b</w:t>
            </w:r>
          </w:p>
        </w:tc>
        <w:tc>
          <w:tcPr>
            <w:tcW w:w="955" w:type="pct"/>
            <w:vAlign w:val="center"/>
          </w:tcPr>
          <w:p w14:paraId="65755865" w14:textId="6EF4FF38" w:rsidR="00414394" w:rsidRDefault="00414394" w:rsidP="000060C7">
            <w:pPr>
              <w:adjustRightInd/>
              <w:snapToGrid/>
              <w:ind w:firstLineChars="0" w:firstLine="0"/>
              <w:jc w:val="center"/>
              <w:rPr>
                <w:rFonts w:ascii="Times New Roman" w:hAnsi="Times New Roman" w:cs="宋体"/>
                <w:color w:val="000000"/>
              </w:rPr>
            </w:pPr>
            <w:r w:rsidRPr="008444A4">
              <w:rPr>
                <w:rFonts w:ascii="Times New Roman" w:hAnsi="Times New Roman" w:cs="宋体" w:hint="eastAsia"/>
                <w:color w:val="000000"/>
              </w:rPr>
              <w:t>1</w:t>
            </w:r>
            <w:r w:rsidRPr="008444A4">
              <w:rPr>
                <w:rFonts w:ascii="Times New Roman" w:hAnsi="Times New Roman" w:cs="宋体"/>
                <w:color w:val="000000"/>
              </w:rPr>
              <w:t>MJ</w:t>
            </w:r>
          </w:p>
        </w:tc>
        <w:tc>
          <w:tcPr>
            <w:tcW w:w="994" w:type="pct"/>
            <w:shd w:val="clear" w:color="auto" w:fill="auto"/>
            <w:noWrap/>
            <w:vAlign w:val="center"/>
          </w:tcPr>
          <w:p w14:paraId="365E0371" w14:textId="6EE1BF50" w:rsidR="00414394" w:rsidRDefault="00414394" w:rsidP="000060C7">
            <w:pPr>
              <w:adjustRightInd/>
              <w:snapToGrid/>
              <w:ind w:firstLineChars="0" w:firstLine="0"/>
              <w:jc w:val="center"/>
              <w:rPr>
                <w:rFonts w:ascii="Times New Roman" w:hAnsi="Times New Roman" w:cs="宋体"/>
                <w:color w:val="000000"/>
              </w:rPr>
            </w:pPr>
            <w:r>
              <w:rPr>
                <w:rFonts w:ascii="Times New Roman" w:hAnsi="Times New Roman" w:cs="宋体" w:hint="eastAsia"/>
                <w:color w:val="000000"/>
              </w:rPr>
              <w:t>133</w:t>
            </w:r>
            <w:r>
              <w:rPr>
                <w:rFonts w:ascii="Times New Roman" w:hAnsi="Times New Roman" w:cs="宋体" w:hint="eastAsia"/>
                <w:color w:val="000000"/>
              </w:rPr>
              <w:t>（</w:t>
            </w:r>
            <w:r>
              <w:rPr>
                <w:rFonts w:ascii="Times New Roman" w:hAnsi="Times New Roman" w:cs="宋体" w:hint="eastAsia"/>
                <w:color w:val="000000"/>
              </w:rPr>
              <w:t>1.2MPa)</w:t>
            </w:r>
          </w:p>
        </w:tc>
        <w:tc>
          <w:tcPr>
            <w:tcW w:w="1973" w:type="pct"/>
            <w:shd w:val="clear" w:color="auto" w:fill="auto"/>
            <w:noWrap/>
            <w:vAlign w:val="center"/>
          </w:tcPr>
          <w:p w14:paraId="4FB6E06A" w14:textId="77777777" w:rsidR="00414394" w:rsidRDefault="00414394" w:rsidP="000060C7">
            <w:pPr>
              <w:adjustRightInd/>
              <w:snapToGrid/>
              <w:ind w:firstLineChars="0" w:firstLine="0"/>
              <w:jc w:val="center"/>
              <w:rPr>
                <w:rFonts w:ascii="Times New Roman" w:hAnsi="Times New Roman" w:cs="宋体"/>
                <w:color w:val="000000"/>
              </w:rPr>
            </w:pPr>
            <w:r>
              <w:rPr>
                <w:rFonts w:ascii="Times New Roman" w:hAnsi="Times New Roman" w:cs="宋体" w:hint="eastAsia"/>
                <w:color w:val="000000"/>
              </w:rPr>
              <w:t>0.08306</w:t>
            </w:r>
          </w:p>
        </w:tc>
      </w:tr>
      <w:tr w:rsidR="00414394" w14:paraId="01DB5F4D" w14:textId="77777777" w:rsidTr="000060C7">
        <w:trPr>
          <w:trHeight w:val="276"/>
          <w:jc w:val="center"/>
        </w:trPr>
        <w:tc>
          <w:tcPr>
            <w:tcW w:w="1078" w:type="pct"/>
            <w:shd w:val="clear" w:color="auto" w:fill="auto"/>
            <w:noWrap/>
            <w:vAlign w:val="center"/>
          </w:tcPr>
          <w:p w14:paraId="72BE901F" w14:textId="77777777" w:rsidR="00414394" w:rsidRDefault="00414394" w:rsidP="000060C7">
            <w:pPr>
              <w:adjustRightInd/>
              <w:snapToGrid/>
              <w:ind w:firstLineChars="0" w:firstLine="0"/>
              <w:jc w:val="center"/>
              <w:rPr>
                <w:rFonts w:ascii="Times New Roman" w:hAnsi="Times New Roman" w:cs="宋体"/>
                <w:color w:val="000000"/>
              </w:rPr>
            </w:pPr>
            <w:r>
              <w:rPr>
                <w:rFonts w:ascii="Times New Roman" w:hAnsi="Times New Roman" w:cs="宋体" w:hint="eastAsia"/>
                <w:color w:val="000000"/>
              </w:rPr>
              <w:t>冷冻水</w:t>
            </w:r>
            <w:r>
              <w:rPr>
                <w:rFonts w:ascii="Times New Roman" w:hAnsi="Times New Roman" w:cs="宋体" w:hint="eastAsia"/>
                <w:color w:val="000000"/>
                <w:vertAlign w:val="superscript"/>
              </w:rPr>
              <w:t>a</w:t>
            </w:r>
          </w:p>
        </w:tc>
        <w:tc>
          <w:tcPr>
            <w:tcW w:w="955" w:type="pct"/>
            <w:vAlign w:val="center"/>
          </w:tcPr>
          <w:p w14:paraId="12EFA77D" w14:textId="47EFE71A" w:rsidR="00414394" w:rsidRDefault="00414394" w:rsidP="000060C7">
            <w:pPr>
              <w:adjustRightInd/>
              <w:snapToGrid/>
              <w:ind w:firstLineChars="0" w:firstLine="0"/>
              <w:jc w:val="center"/>
              <w:rPr>
                <w:rFonts w:ascii="Times New Roman" w:hAnsi="Times New Roman" w:cs="宋体"/>
                <w:color w:val="000000"/>
              </w:rPr>
            </w:pPr>
            <w:r w:rsidRPr="008444A4">
              <w:rPr>
                <w:rFonts w:ascii="Times New Roman" w:hAnsi="Times New Roman" w:cs="宋体" w:hint="eastAsia"/>
                <w:color w:val="000000"/>
              </w:rPr>
              <w:t>1</w:t>
            </w:r>
            <w:r w:rsidRPr="008444A4">
              <w:rPr>
                <w:rFonts w:ascii="Times New Roman" w:hAnsi="Times New Roman" w:cs="宋体"/>
                <w:color w:val="000000"/>
              </w:rPr>
              <w:t>MJ</w:t>
            </w:r>
          </w:p>
        </w:tc>
        <w:tc>
          <w:tcPr>
            <w:tcW w:w="994" w:type="pct"/>
            <w:shd w:val="clear" w:color="auto" w:fill="auto"/>
            <w:noWrap/>
            <w:vAlign w:val="center"/>
          </w:tcPr>
          <w:p w14:paraId="13ABEC7A" w14:textId="61CD101A" w:rsidR="00414394" w:rsidRDefault="00414394" w:rsidP="000060C7">
            <w:pPr>
              <w:adjustRightInd/>
              <w:snapToGrid/>
              <w:ind w:firstLineChars="0" w:firstLine="0"/>
              <w:jc w:val="center"/>
              <w:rPr>
                <w:rFonts w:ascii="Times New Roman" w:hAnsi="Times New Roman" w:cs="宋体"/>
                <w:color w:val="000000"/>
              </w:rPr>
            </w:pPr>
            <w:r>
              <w:rPr>
                <w:rFonts w:ascii="Times New Roman" w:hAnsi="Times New Roman" w:cs="宋体" w:hint="eastAsia"/>
                <w:color w:val="000000"/>
              </w:rPr>
              <w:t>7/12</w:t>
            </w:r>
          </w:p>
        </w:tc>
        <w:tc>
          <w:tcPr>
            <w:tcW w:w="1973" w:type="pct"/>
            <w:shd w:val="clear" w:color="auto" w:fill="auto"/>
            <w:noWrap/>
            <w:vAlign w:val="center"/>
          </w:tcPr>
          <w:p w14:paraId="459BB77F" w14:textId="77777777" w:rsidR="00414394" w:rsidRDefault="00414394" w:rsidP="000060C7">
            <w:pPr>
              <w:adjustRightInd/>
              <w:snapToGrid/>
              <w:ind w:firstLineChars="0" w:firstLine="0"/>
              <w:jc w:val="center"/>
              <w:rPr>
                <w:rFonts w:ascii="Times New Roman" w:hAnsi="Times New Roman" w:cs="宋体"/>
                <w:color w:val="000000"/>
              </w:rPr>
            </w:pPr>
            <w:r>
              <w:rPr>
                <w:rFonts w:ascii="Times New Roman" w:hAnsi="Times New Roman" w:cs="宋体" w:hint="eastAsia"/>
                <w:color w:val="000000"/>
              </w:rPr>
              <w:t>0.02015</w:t>
            </w:r>
          </w:p>
        </w:tc>
      </w:tr>
    </w:tbl>
    <w:p w14:paraId="57E3D07B" w14:textId="77777777" w:rsidR="005E4196" w:rsidRDefault="005E4196" w:rsidP="005E4196">
      <w:pPr>
        <w:ind w:firstLine="480"/>
        <w:rPr>
          <w:rFonts w:ascii="Times New Roman" w:hAnsi="Times New Roman"/>
          <w:szCs w:val="21"/>
        </w:rPr>
      </w:pPr>
      <w:r>
        <w:rPr>
          <w:rFonts w:ascii="Times New Roman" w:hAnsi="Times New Roman" w:hint="eastAsia"/>
          <w:szCs w:val="21"/>
        </w:rPr>
        <w:t>注：</w:t>
      </w:r>
      <w:r>
        <w:rPr>
          <w:rFonts w:ascii="Times New Roman" w:hAnsi="Times New Roman" w:hint="eastAsia"/>
          <w:szCs w:val="21"/>
          <w:vertAlign w:val="superscript"/>
        </w:rPr>
        <w:t>a</w:t>
      </w:r>
      <w:r>
        <w:rPr>
          <w:rFonts w:ascii="Times New Roman" w:hAnsi="Times New Roman" w:hint="eastAsia"/>
          <w:szCs w:val="21"/>
        </w:rPr>
        <w:t>热水和冷水的工作温度指供水和回水温度。</w:t>
      </w:r>
    </w:p>
    <w:p w14:paraId="4AFE326E" w14:textId="77777777" w:rsidR="005E4196" w:rsidRDefault="005E4196" w:rsidP="005E4196">
      <w:pPr>
        <w:ind w:firstLineChars="400" w:firstLine="960"/>
        <w:rPr>
          <w:rFonts w:ascii="Times New Roman" w:hAnsi="Times New Roman"/>
          <w:szCs w:val="21"/>
        </w:rPr>
        <w:sectPr w:rsidR="005E4196" w:rsidSect="00A62003">
          <w:pgSz w:w="11906" w:h="16838"/>
          <w:pgMar w:top="1440" w:right="1800" w:bottom="1440" w:left="1800" w:header="708" w:footer="708" w:gutter="0"/>
          <w:cols w:space="708"/>
          <w:docGrid w:linePitch="360"/>
        </w:sectPr>
      </w:pPr>
      <w:r>
        <w:rPr>
          <w:rFonts w:ascii="Times New Roman" w:hAnsi="Times New Roman" w:hint="eastAsia"/>
          <w:szCs w:val="21"/>
          <w:vertAlign w:val="superscript"/>
        </w:rPr>
        <w:t>b</w:t>
      </w:r>
      <w:r>
        <w:rPr>
          <w:rFonts w:ascii="Times New Roman" w:hAnsi="Times New Roman" w:hint="eastAsia"/>
          <w:szCs w:val="21"/>
        </w:rPr>
        <w:t>饱和蒸汽的工作温度指供给蒸汽压力相应的饱和温度。</w:t>
      </w:r>
    </w:p>
    <w:p w14:paraId="59C1F1C6" w14:textId="01F5BA71" w:rsidR="005E4196" w:rsidRDefault="005E4196" w:rsidP="005E4196">
      <w:pPr>
        <w:ind w:firstLineChars="400" w:firstLine="960"/>
        <w:rPr>
          <w:rFonts w:ascii="Times New Roman" w:hAnsi="Times New Roman"/>
          <w:szCs w:val="21"/>
        </w:rPr>
      </w:pPr>
    </w:p>
    <w:p w14:paraId="0758BAFA" w14:textId="6A0C83CE" w:rsidR="00730DD9" w:rsidRDefault="00730DD9" w:rsidP="00730DD9">
      <w:pPr>
        <w:pStyle w:val="2"/>
        <w:numPr>
          <w:ilvl w:val="0"/>
          <w:numId w:val="0"/>
        </w:numPr>
      </w:pPr>
      <w:bookmarkStart w:id="21" w:name="_Toc64983958"/>
      <w:r>
        <w:rPr>
          <w:rFonts w:hint="eastAsia"/>
        </w:rPr>
        <w:t>附录</w:t>
      </w:r>
      <w:r w:rsidR="005E4196">
        <w:t>B</w:t>
      </w:r>
      <w:r w:rsidR="006A5C27">
        <w:rPr>
          <w:rFonts w:hint="eastAsia"/>
        </w:rPr>
        <w:t xml:space="preserve"> </w:t>
      </w:r>
      <w:r w:rsidR="006A5C27">
        <w:t xml:space="preserve"> </w:t>
      </w:r>
      <w:r w:rsidRPr="00730DD9">
        <w:rPr>
          <w:rFonts w:hint="eastAsia"/>
        </w:rPr>
        <w:t>各细分业态能耗指标</w:t>
      </w:r>
      <w:bookmarkEnd w:id="21"/>
    </w:p>
    <w:p w14:paraId="7209CD4D" w14:textId="067F3474" w:rsidR="00730DD9" w:rsidRPr="000125F7" w:rsidRDefault="00ED7DE0" w:rsidP="00C65BEC">
      <w:pPr>
        <w:ind w:firstLine="480"/>
        <w:jc w:val="center"/>
      </w:pPr>
      <w:r>
        <w:rPr>
          <w:rFonts w:hint="eastAsia"/>
        </w:rPr>
        <w:t>表</w:t>
      </w:r>
      <w:r w:rsidR="00905D4E">
        <w:rPr>
          <w:rFonts w:hint="eastAsia"/>
        </w:rPr>
        <w:t xml:space="preserve"> </w:t>
      </w:r>
      <w:r w:rsidR="005E4196">
        <w:t>B</w:t>
      </w:r>
      <w:r w:rsidR="00905D4E">
        <w:rPr>
          <w:rFonts w:hint="eastAsia"/>
        </w:rPr>
        <w:t>.0.1</w:t>
      </w:r>
      <w:r w:rsidR="00905D4E">
        <w:t xml:space="preserve"> </w:t>
      </w:r>
      <w:r w:rsidR="00730DD9" w:rsidRPr="00091D55">
        <w:rPr>
          <w:rFonts w:hint="eastAsia"/>
        </w:rPr>
        <w:t>商业综合体</w:t>
      </w:r>
      <w:r w:rsidR="00730DD9">
        <w:rPr>
          <w:rFonts w:hint="eastAsia"/>
        </w:rPr>
        <w:t>各</w:t>
      </w:r>
      <w:r w:rsidR="00730DD9" w:rsidRPr="00091D55">
        <w:rPr>
          <w:rFonts w:hint="eastAsia"/>
        </w:rPr>
        <w:t>细分业态能耗指标</w:t>
      </w:r>
    </w:p>
    <w:tbl>
      <w:tblPr>
        <w:tblW w:w="5000" w:type="pct"/>
        <w:jc w:val="center"/>
        <w:tblLook w:val="04A0" w:firstRow="1" w:lastRow="0" w:firstColumn="1" w:lastColumn="0" w:noHBand="0" w:noVBand="1"/>
      </w:tblPr>
      <w:tblGrid>
        <w:gridCol w:w="1382"/>
        <w:gridCol w:w="1381"/>
        <w:gridCol w:w="1381"/>
        <w:gridCol w:w="1383"/>
        <w:gridCol w:w="1381"/>
        <w:gridCol w:w="1383"/>
      </w:tblGrid>
      <w:tr w:rsidR="00730DD9" w:rsidRPr="009A38A7" w14:paraId="028F2539" w14:textId="77777777" w:rsidTr="002D1199">
        <w:trPr>
          <w:trHeight w:val="624"/>
          <w:jc w:val="center"/>
        </w:trPr>
        <w:tc>
          <w:tcPr>
            <w:tcW w:w="833" w:type="pct"/>
            <w:vMerge w:val="restart"/>
            <w:tcBorders>
              <w:top w:val="single" w:sz="8" w:space="0" w:color="auto"/>
              <w:left w:val="single" w:sz="4" w:space="0" w:color="auto"/>
              <w:right w:val="single" w:sz="4" w:space="0" w:color="auto"/>
            </w:tcBorders>
            <w:shd w:val="clear" w:color="auto" w:fill="auto"/>
            <w:vAlign w:val="center"/>
            <w:hideMark/>
          </w:tcPr>
          <w:p w14:paraId="7D1603EC" w14:textId="77777777"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Pr>
                <w:rFonts w:asciiTheme="majorEastAsia" w:eastAsiaTheme="majorEastAsia" w:hAnsiTheme="majorEastAsia" w:cs="宋体" w:hint="eastAsia"/>
                <w:szCs w:val="24"/>
              </w:rPr>
              <w:t>业态类别</w:t>
            </w:r>
          </w:p>
        </w:tc>
        <w:tc>
          <w:tcPr>
            <w:tcW w:w="833" w:type="pct"/>
            <w:vMerge w:val="restart"/>
            <w:tcBorders>
              <w:top w:val="single" w:sz="8" w:space="0" w:color="auto"/>
              <w:left w:val="single" w:sz="4" w:space="0" w:color="auto"/>
              <w:right w:val="single" w:sz="4" w:space="0" w:color="auto"/>
            </w:tcBorders>
            <w:shd w:val="clear" w:color="auto" w:fill="auto"/>
            <w:vAlign w:val="center"/>
            <w:hideMark/>
          </w:tcPr>
          <w:p w14:paraId="50A165CD" w14:textId="77777777"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细分业态</w:t>
            </w:r>
          </w:p>
        </w:tc>
        <w:tc>
          <w:tcPr>
            <w:tcW w:w="1667" w:type="pct"/>
            <w:gridSpan w:val="2"/>
            <w:tcBorders>
              <w:top w:val="single" w:sz="8" w:space="0" w:color="auto"/>
              <w:left w:val="nil"/>
              <w:bottom w:val="single" w:sz="4" w:space="0" w:color="auto"/>
              <w:right w:val="single" w:sz="4" w:space="0" w:color="auto"/>
            </w:tcBorders>
            <w:shd w:val="clear" w:color="auto" w:fill="auto"/>
            <w:vAlign w:val="center"/>
            <w:hideMark/>
          </w:tcPr>
          <w:p w14:paraId="5ACB470F" w14:textId="77777777"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基础能耗</w:t>
            </w:r>
            <w:r>
              <w:rPr>
                <w:rFonts w:hint="eastAsia"/>
              </w:rPr>
              <w:t>[</w:t>
            </w:r>
            <w:r w:rsidRPr="0021550C">
              <w:t>kWh /(m2·a)</w:t>
            </w:r>
            <w:r>
              <w:t>]</w:t>
            </w:r>
          </w:p>
        </w:tc>
        <w:tc>
          <w:tcPr>
            <w:tcW w:w="1667" w:type="pct"/>
            <w:gridSpan w:val="2"/>
            <w:tcBorders>
              <w:top w:val="single" w:sz="8" w:space="0" w:color="auto"/>
              <w:left w:val="nil"/>
              <w:bottom w:val="single" w:sz="4" w:space="0" w:color="auto"/>
              <w:right w:val="single" w:sz="8" w:space="0" w:color="000000"/>
            </w:tcBorders>
            <w:shd w:val="clear" w:color="auto" w:fill="auto"/>
            <w:vAlign w:val="center"/>
            <w:hideMark/>
          </w:tcPr>
          <w:p w14:paraId="4371DF45" w14:textId="77777777"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空调能耗</w:t>
            </w:r>
            <w:r>
              <w:rPr>
                <w:rFonts w:hint="eastAsia"/>
              </w:rPr>
              <w:t>[</w:t>
            </w:r>
            <w:r w:rsidRPr="0021550C">
              <w:t>kWh /(m2·a)</w:t>
            </w:r>
            <w:r>
              <w:t>]</w:t>
            </w:r>
          </w:p>
        </w:tc>
      </w:tr>
      <w:tr w:rsidR="00730DD9" w:rsidRPr="009A38A7" w14:paraId="5798C8A9" w14:textId="77777777" w:rsidTr="002D1199">
        <w:trPr>
          <w:trHeight w:val="624"/>
          <w:jc w:val="center"/>
        </w:trPr>
        <w:tc>
          <w:tcPr>
            <w:tcW w:w="833" w:type="pct"/>
            <w:vMerge/>
            <w:tcBorders>
              <w:left w:val="single" w:sz="4" w:space="0" w:color="auto"/>
              <w:bottom w:val="single" w:sz="4" w:space="0" w:color="auto"/>
              <w:right w:val="single" w:sz="4" w:space="0" w:color="auto"/>
            </w:tcBorders>
            <w:shd w:val="clear" w:color="auto" w:fill="auto"/>
            <w:vAlign w:val="center"/>
            <w:hideMark/>
          </w:tcPr>
          <w:p w14:paraId="4893B64D" w14:textId="77777777" w:rsidR="00730DD9" w:rsidRPr="009A38A7" w:rsidRDefault="00730DD9" w:rsidP="002D1199">
            <w:pPr>
              <w:adjustRightInd/>
              <w:snapToGrid/>
              <w:spacing w:line="240" w:lineRule="auto"/>
              <w:ind w:firstLineChars="0" w:firstLine="0"/>
              <w:rPr>
                <w:rFonts w:asciiTheme="majorEastAsia" w:eastAsiaTheme="majorEastAsia" w:hAnsiTheme="majorEastAsia" w:cs="宋体"/>
                <w:szCs w:val="24"/>
              </w:rPr>
            </w:pPr>
          </w:p>
        </w:tc>
        <w:tc>
          <w:tcPr>
            <w:tcW w:w="833" w:type="pct"/>
            <w:vMerge/>
            <w:tcBorders>
              <w:left w:val="single" w:sz="4" w:space="0" w:color="auto"/>
              <w:bottom w:val="single" w:sz="4" w:space="0" w:color="auto"/>
              <w:right w:val="single" w:sz="4" w:space="0" w:color="auto"/>
            </w:tcBorders>
            <w:shd w:val="clear" w:color="auto" w:fill="auto"/>
            <w:vAlign w:val="center"/>
            <w:hideMark/>
          </w:tcPr>
          <w:p w14:paraId="65C58376" w14:textId="77777777" w:rsidR="00730DD9" w:rsidRPr="009A38A7" w:rsidRDefault="00730DD9" w:rsidP="002D1199">
            <w:pPr>
              <w:adjustRightInd/>
              <w:snapToGrid/>
              <w:spacing w:line="240" w:lineRule="auto"/>
              <w:ind w:firstLineChars="0" w:firstLine="0"/>
              <w:rPr>
                <w:rFonts w:asciiTheme="majorEastAsia" w:eastAsiaTheme="majorEastAsia" w:hAnsiTheme="majorEastAsia" w:cs="宋体"/>
                <w:szCs w:val="24"/>
              </w:rPr>
            </w:pPr>
          </w:p>
        </w:tc>
        <w:tc>
          <w:tcPr>
            <w:tcW w:w="833" w:type="pct"/>
            <w:tcBorders>
              <w:top w:val="nil"/>
              <w:left w:val="nil"/>
              <w:bottom w:val="single" w:sz="4" w:space="0" w:color="auto"/>
              <w:right w:val="single" w:sz="4" w:space="0" w:color="auto"/>
            </w:tcBorders>
            <w:shd w:val="clear" w:color="auto" w:fill="auto"/>
            <w:vAlign w:val="center"/>
            <w:hideMark/>
          </w:tcPr>
          <w:p w14:paraId="65512E64" w14:textId="77777777"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约束值</w:t>
            </w:r>
          </w:p>
        </w:tc>
        <w:tc>
          <w:tcPr>
            <w:tcW w:w="834" w:type="pct"/>
            <w:tcBorders>
              <w:top w:val="nil"/>
              <w:left w:val="nil"/>
              <w:bottom w:val="single" w:sz="4" w:space="0" w:color="auto"/>
              <w:right w:val="single" w:sz="4" w:space="0" w:color="auto"/>
            </w:tcBorders>
            <w:shd w:val="clear" w:color="auto" w:fill="auto"/>
            <w:vAlign w:val="center"/>
            <w:hideMark/>
          </w:tcPr>
          <w:p w14:paraId="766D9B13" w14:textId="77777777"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引导值</w:t>
            </w:r>
          </w:p>
        </w:tc>
        <w:tc>
          <w:tcPr>
            <w:tcW w:w="833" w:type="pct"/>
            <w:tcBorders>
              <w:top w:val="nil"/>
              <w:left w:val="nil"/>
              <w:bottom w:val="single" w:sz="4" w:space="0" w:color="auto"/>
              <w:right w:val="single" w:sz="4" w:space="0" w:color="auto"/>
            </w:tcBorders>
            <w:shd w:val="clear" w:color="auto" w:fill="auto"/>
            <w:vAlign w:val="center"/>
            <w:hideMark/>
          </w:tcPr>
          <w:p w14:paraId="65E3258E" w14:textId="77777777"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约束值</w:t>
            </w:r>
          </w:p>
        </w:tc>
        <w:tc>
          <w:tcPr>
            <w:tcW w:w="834" w:type="pct"/>
            <w:tcBorders>
              <w:top w:val="nil"/>
              <w:left w:val="nil"/>
              <w:bottom w:val="single" w:sz="4" w:space="0" w:color="auto"/>
              <w:right w:val="single" w:sz="4" w:space="0" w:color="auto"/>
            </w:tcBorders>
            <w:shd w:val="clear" w:color="auto" w:fill="auto"/>
            <w:vAlign w:val="center"/>
            <w:hideMark/>
          </w:tcPr>
          <w:p w14:paraId="5624A9F4" w14:textId="77777777"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引导值</w:t>
            </w:r>
          </w:p>
        </w:tc>
      </w:tr>
      <w:tr w:rsidR="00730DD9" w:rsidRPr="009A38A7" w14:paraId="76B9FFB1" w14:textId="77777777" w:rsidTr="002D1199">
        <w:trPr>
          <w:trHeight w:val="624"/>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14:paraId="1B56DF20" w14:textId="77777777"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商铺</w:t>
            </w:r>
          </w:p>
        </w:tc>
        <w:tc>
          <w:tcPr>
            <w:tcW w:w="833" w:type="pct"/>
            <w:tcBorders>
              <w:top w:val="nil"/>
              <w:left w:val="nil"/>
              <w:bottom w:val="single" w:sz="4" w:space="0" w:color="auto"/>
              <w:right w:val="single" w:sz="4" w:space="0" w:color="auto"/>
            </w:tcBorders>
            <w:shd w:val="clear" w:color="auto" w:fill="auto"/>
            <w:vAlign w:val="center"/>
            <w:hideMark/>
          </w:tcPr>
          <w:p w14:paraId="6EBA9F65" w14:textId="32A5B599"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w:t>
            </w:r>
          </w:p>
        </w:tc>
        <w:tc>
          <w:tcPr>
            <w:tcW w:w="833" w:type="pct"/>
            <w:tcBorders>
              <w:top w:val="nil"/>
              <w:left w:val="nil"/>
              <w:bottom w:val="single" w:sz="4" w:space="0" w:color="auto"/>
              <w:right w:val="single" w:sz="4" w:space="0" w:color="auto"/>
            </w:tcBorders>
            <w:shd w:val="clear" w:color="auto" w:fill="auto"/>
            <w:vAlign w:val="center"/>
            <w:hideMark/>
          </w:tcPr>
          <w:p w14:paraId="0881DE8E" w14:textId="77777777"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132</w:t>
            </w:r>
          </w:p>
        </w:tc>
        <w:tc>
          <w:tcPr>
            <w:tcW w:w="834" w:type="pct"/>
            <w:tcBorders>
              <w:top w:val="nil"/>
              <w:left w:val="nil"/>
              <w:bottom w:val="single" w:sz="4" w:space="0" w:color="auto"/>
              <w:right w:val="single" w:sz="4" w:space="0" w:color="auto"/>
            </w:tcBorders>
            <w:shd w:val="clear" w:color="auto" w:fill="auto"/>
            <w:vAlign w:val="center"/>
            <w:hideMark/>
          </w:tcPr>
          <w:p w14:paraId="7943A09C" w14:textId="77777777"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100</w:t>
            </w:r>
          </w:p>
        </w:tc>
        <w:tc>
          <w:tcPr>
            <w:tcW w:w="833" w:type="pct"/>
            <w:tcBorders>
              <w:top w:val="nil"/>
              <w:left w:val="nil"/>
              <w:bottom w:val="single" w:sz="4" w:space="0" w:color="auto"/>
              <w:right w:val="single" w:sz="4" w:space="0" w:color="auto"/>
            </w:tcBorders>
            <w:shd w:val="clear" w:color="auto" w:fill="auto"/>
            <w:vAlign w:val="center"/>
            <w:hideMark/>
          </w:tcPr>
          <w:p w14:paraId="32757543" w14:textId="77777777"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54</w:t>
            </w:r>
          </w:p>
        </w:tc>
        <w:tc>
          <w:tcPr>
            <w:tcW w:w="834" w:type="pct"/>
            <w:tcBorders>
              <w:top w:val="nil"/>
              <w:left w:val="nil"/>
              <w:bottom w:val="single" w:sz="4" w:space="0" w:color="auto"/>
              <w:right w:val="single" w:sz="8" w:space="0" w:color="auto"/>
            </w:tcBorders>
            <w:shd w:val="clear" w:color="auto" w:fill="auto"/>
            <w:vAlign w:val="center"/>
            <w:hideMark/>
          </w:tcPr>
          <w:p w14:paraId="5F205717" w14:textId="77777777"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49</w:t>
            </w:r>
          </w:p>
        </w:tc>
      </w:tr>
      <w:tr w:rsidR="00730DD9" w:rsidRPr="009A38A7" w14:paraId="3BAF635A" w14:textId="77777777" w:rsidTr="002D1199">
        <w:trPr>
          <w:trHeight w:val="624"/>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14:paraId="5893308C" w14:textId="77777777"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超市</w:t>
            </w:r>
          </w:p>
        </w:tc>
        <w:tc>
          <w:tcPr>
            <w:tcW w:w="833" w:type="pct"/>
            <w:tcBorders>
              <w:top w:val="nil"/>
              <w:left w:val="nil"/>
              <w:bottom w:val="single" w:sz="4" w:space="0" w:color="auto"/>
              <w:right w:val="single" w:sz="4" w:space="0" w:color="auto"/>
            </w:tcBorders>
            <w:shd w:val="clear" w:color="auto" w:fill="auto"/>
            <w:vAlign w:val="center"/>
            <w:hideMark/>
          </w:tcPr>
          <w:p w14:paraId="21BA3F75" w14:textId="1A3478D7"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w:t>
            </w:r>
          </w:p>
        </w:tc>
        <w:tc>
          <w:tcPr>
            <w:tcW w:w="833" w:type="pct"/>
            <w:tcBorders>
              <w:top w:val="nil"/>
              <w:left w:val="nil"/>
              <w:bottom w:val="single" w:sz="4" w:space="0" w:color="auto"/>
              <w:right w:val="single" w:sz="4" w:space="0" w:color="auto"/>
            </w:tcBorders>
            <w:shd w:val="clear" w:color="auto" w:fill="auto"/>
            <w:vAlign w:val="center"/>
            <w:hideMark/>
          </w:tcPr>
          <w:p w14:paraId="012121C2" w14:textId="77777777"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107</w:t>
            </w:r>
          </w:p>
        </w:tc>
        <w:tc>
          <w:tcPr>
            <w:tcW w:w="834" w:type="pct"/>
            <w:tcBorders>
              <w:top w:val="nil"/>
              <w:left w:val="nil"/>
              <w:bottom w:val="single" w:sz="4" w:space="0" w:color="auto"/>
              <w:right w:val="single" w:sz="4" w:space="0" w:color="auto"/>
            </w:tcBorders>
            <w:shd w:val="clear" w:color="auto" w:fill="auto"/>
            <w:vAlign w:val="center"/>
            <w:hideMark/>
          </w:tcPr>
          <w:p w14:paraId="6F18B011" w14:textId="77777777"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99</w:t>
            </w:r>
          </w:p>
        </w:tc>
        <w:tc>
          <w:tcPr>
            <w:tcW w:w="833" w:type="pct"/>
            <w:tcBorders>
              <w:top w:val="nil"/>
              <w:left w:val="nil"/>
              <w:bottom w:val="single" w:sz="4" w:space="0" w:color="auto"/>
              <w:right w:val="single" w:sz="4" w:space="0" w:color="auto"/>
            </w:tcBorders>
            <w:shd w:val="clear" w:color="auto" w:fill="auto"/>
            <w:vAlign w:val="center"/>
            <w:hideMark/>
          </w:tcPr>
          <w:p w14:paraId="21277CE8" w14:textId="77777777"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54</w:t>
            </w:r>
          </w:p>
        </w:tc>
        <w:tc>
          <w:tcPr>
            <w:tcW w:w="834" w:type="pct"/>
            <w:tcBorders>
              <w:top w:val="nil"/>
              <w:left w:val="nil"/>
              <w:bottom w:val="single" w:sz="4" w:space="0" w:color="auto"/>
              <w:right w:val="single" w:sz="8" w:space="0" w:color="auto"/>
            </w:tcBorders>
            <w:shd w:val="clear" w:color="auto" w:fill="auto"/>
            <w:vAlign w:val="center"/>
            <w:hideMark/>
          </w:tcPr>
          <w:p w14:paraId="02EF918C" w14:textId="77777777"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49</w:t>
            </w:r>
          </w:p>
        </w:tc>
      </w:tr>
      <w:tr w:rsidR="00730DD9" w:rsidRPr="009A38A7" w14:paraId="7FB1B882" w14:textId="77777777" w:rsidTr="002D1199">
        <w:trPr>
          <w:trHeight w:val="624"/>
          <w:jc w:val="center"/>
        </w:trPr>
        <w:tc>
          <w:tcPr>
            <w:tcW w:w="833" w:type="pct"/>
            <w:vMerge w:val="restart"/>
            <w:tcBorders>
              <w:top w:val="nil"/>
              <w:left w:val="single" w:sz="4" w:space="0" w:color="auto"/>
              <w:bottom w:val="single" w:sz="4" w:space="0" w:color="auto"/>
              <w:right w:val="single" w:sz="4" w:space="0" w:color="auto"/>
            </w:tcBorders>
            <w:shd w:val="clear" w:color="auto" w:fill="auto"/>
            <w:vAlign w:val="center"/>
            <w:hideMark/>
          </w:tcPr>
          <w:p w14:paraId="52835614" w14:textId="77777777"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餐饮</w:t>
            </w:r>
          </w:p>
        </w:tc>
        <w:tc>
          <w:tcPr>
            <w:tcW w:w="833" w:type="pct"/>
            <w:tcBorders>
              <w:top w:val="nil"/>
              <w:left w:val="nil"/>
              <w:bottom w:val="single" w:sz="4" w:space="0" w:color="auto"/>
              <w:right w:val="single" w:sz="4" w:space="0" w:color="auto"/>
            </w:tcBorders>
            <w:shd w:val="clear" w:color="auto" w:fill="auto"/>
            <w:vAlign w:val="center"/>
            <w:hideMark/>
          </w:tcPr>
          <w:p w14:paraId="138A1AB4" w14:textId="77777777"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火锅类餐饮</w:t>
            </w:r>
          </w:p>
        </w:tc>
        <w:tc>
          <w:tcPr>
            <w:tcW w:w="833" w:type="pct"/>
            <w:tcBorders>
              <w:top w:val="nil"/>
              <w:left w:val="nil"/>
              <w:bottom w:val="single" w:sz="4" w:space="0" w:color="auto"/>
              <w:right w:val="single" w:sz="4" w:space="0" w:color="auto"/>
            </w:tcBorders>
            <w:shd w:val="clear" w:color="auto" w:fill="auto"/>
            <w:vAlign w:val="center"/>
            <w:hideMark/>
          </w:tcPr>
          <w:p w14:paraId="342F3246" w14:textId="77777777"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1003</w:t>
            </w:r>
          </w:p>
        </w:tc>
        <w:tc>
          <w:tcPr>
            <w:tcW w:w="834" w:type="pct"/>
            <w:tcBorders>
              <w:top w:val="nil"/>
              <w:left w:val="nil"/>
              <w:bottom w:val="single" w:sz="4" w:space="0" w:color="auto"/>
              <w:right w:val="single" w:sz="4" w:space="0" w:color="auto"/>
            </w:tcBorders>
            <w:shd w:val="clear" w:color="auto" w:fill="auto"/>
            <w:vAlign w:val="center"/>
            <w:hideMark/>
          </w:tcPr>
          <w:p w14:paraId="11A87AD4" w14:textId="77777777"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838</w:t>
            </w:r>
          </w:p>
        </w:tc>
        <w:tc>
          <w:tcPr>
            <w:tcW w:w="833" w:type="pct"/>
            <w:tcBorders>
              <w:top w:val="nil"/>
              <w:left w:val="nil"/>
              <w:bottom w:val="single" w:sz="4" w:space="0" w:color="auto"/>
              <w:right w:val="single" w:sz="4" w:space="0" w:color="auto"/>
            </w:tcBorders>
            <w:shd w:val="clear" w:color="auto" w:fill="auto"/>
            <w:vAlign w:val="center"/>
            <w:hideMark/>
          </w:tcPr>
          <w:p w14:paraId="077CD0DD" w14:textId="77777777"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83</w:t>
            </w:r>
          </w:p>
        </w:tc>
        <w:tc>
          <w:tcPr>
            <w:tcW w:w="834" w:type="pct"/>
            <w:tcBorders>
              <w:top w:val="nil"/>
              <w:left w:val="nil"/>
              <w:bottom w:val="single" w:sz="4" w:space="0" w:color="auto"/>
              <w:right w:val="single" w:sz="8" w:space="0" w:color="auto"/>
            </w:tcBorders>
            <w:shd w:val="clear" w:color="auto" w:fill="auto"/>
            <w:vAlign w:val="center"/>
            <w:hideMark/>
          </w:tcPr>
          <w:p w14:paraId="5A656A74" w14:textId="77777777"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74</w:t>
            </w:r>
          </w:p>
        </w:tc>
      </w:tr>
      <w:tr w:rsidR="00730DD9" w:rsidRPr="009A38A7" w14:paraId="3E932B84" w14:textId="77777777" w:rsidTr="002D1199">
        <w:trPr>
          <w:trHeight w:val="624"/>
          <w:jc w:val="center"/>
        </w:trPr>
        <w:tc>
          <w:tcPr>
            <w:tcW w:w="833" w:type="pct"/>
            <w:vMerge/>
            <w:tcBorders>
              <w:top w:val="nil"/>
              <w:left w:val="single" w:sz="4" w:space="0" w:color="auto"/>
              <w:bottom w:val="single" w:sz="4" w:space="0" w:color="auto"/>
              <w:right w:val="single" w:sz="4" w:space="0" w:color="auto"/>
            </w:tcBorders>
            <w:vAlign w:val="center"/>
            <w:hideMark/>
          </w:tcPr>
          <w:p w14:paraId="6000414B" w14:textId="77777777" w:rsidR="00730DD9" w:rsidRPr="009A38A7" w:rsidRDefault="00730DD9" w:rsidP="002D1199">
            <w:pPr>
              <w:adjustRightInd/>
              <w:snapToGrid/>
              <w:spacing w:line="240" w:lineRule="auto"/>
              <w:ind w:firstLineChars="0" w:firstLine="0"/>
              <w:rPr>
                <w:rFonts w:asciiTheme="majorEastAsia" w:eastAsiaTheme="majorEastAsia" w:hAnsiTheme="majorEastAsia" w:cs="宋体"/>
                <w:szCs w:val="24"/>
              </w:rPr>
            </w:pPr>
          </w:p>
        </w:tc>
        <w:tc>
          <w:tcPr>
            <w:tcW w:w="833" w:type="pct"/>
            <w:tcBorders>
              <w:top w:val="nil"/>
              <w:left w:val="nil"/>
              <w:bottom w:val="single" w:sz="4" w:space="0" w:color="auto"/>
              <w:right w:val="single" w:sz="4" w:space="0" w:color="auto"/>
            </w:tcBorders>
            <w:shd w:val="clear" w:color="auto" w:fill="auto"/>
            <w:vAlign w:val="center"/>
            <w:hideMark/>
          </w:tcPr>
          <w:p w14:paraId="04D5D402" w14:textId="77777777"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一般餐饮</w:t>
            </w:r>
          </w:p>
        </w:tc>
        <w:tc>
          <w:tcPr>
            <w:tcW w:w="833" w:type="pct"/>
            <w:tcBorders>
              <w:top w:val="nil"/>
              <w:left w:val="nil"/>
              <w:bottom w:val="single" w:sz="4" w:space="0" w:color="auto"/>
              <w:right w:val="single" w:sz="4" w:space="0" w:color="auto"/>
            </w:tcBorders>
            <w:shd w:val="clear" w:color="auto" w:fill="auto"/>
            <w:vAlign w:val="center"/>
            <w:hideMark/>
          </w:tcPr>
          <w:p w14:paraId="1A330A93" w14:textId="77777777"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554</w:t>
            </w:r>
          </w:p>
        </w:tc>
        <w:tc>
          <w:tcPr>
            <w:tcW w:w="834" w:type="pct"/>
            <w:tcBorders>
              <w:top w:val="nil"/>
              <w:left w:val="nil"/>
              <w:bottom w:val="single" w:sz="4" w:space="0" w:color="auto"/>
              <w:right w:val="single" w:sz="4" w:space="0" w:color="auto"/>
            </w:tcBorders>
            <w:shd w:val="clear" w:color="auto" w:fill="auto"/>
            <w:vAlign w:val="center"/>
            <w:hideMark/>
          </w:tcPr>
          <w:p w14:paraId="33296592" w14:textId="77777777"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473</w:t>
            </w:r>
          </w:p>
        </w:tc>
        <w:tc>
          <w:tcPr>
            <w:tcW w:w="833" w:type="pct"/>
            <w:tcBorders>
              <w:top w:val="nil"/>
              <w:left w:val="nil"/>
              <w:bottom w:val="single" w:sz="4" w:space="0" w:color="auto"/>
              <w:right w:val="single" w:sz="4" w:space="0" w:color="auto"/>
            </w:tcBorders>
            <w:shd w:val="clear" w:color="auto" w:fill="auto"/>
            <w:vAlign w:val="center"/>
            <w:hideMark/>
          </w:tcPr>
          <w:p w14:paraId="562A6668" w14:textId="77777777"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83</w:t>
            </w:r>
          </w:p>
        </w:tc>
        <w:tc>
          <w:tcPr>
            <w:tcW w:w="834" w:type="pct"/>
            <w:tcBorders>
              <w:top w:val="nil"/>
              <w:left w:val="nil"/>
              <w:bottom w:val="single" w:sz="4" w:space="0" w:color="auto"/>
              <w:right w:val="single" w:sz="8" w:space="0" w:color="auto"/>
            </w:tcBorders>
            <w:shd w:val="clear" w:color="auto" w:fill="auto"/>
            <w:vAlign w:val="center"/>
            <w:hideMark/>
          </w:tcPr>
          <w:p w14:paraId="33A791DA" w14:textId="77777777"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74</w:t>
            </w:r>
          </w:p>
        </w:tc>
      </w:tr>
      <w:tr w:rsidR="00730DD9" w:rsidRPr="009A38A7" w14:paraId="5BA04AD5" w14:textId="77777777" w:rsidTr="002D1199">
        <w:trPr>
          <w:trHeight w:val="624"/>
          <w:jc w:val="center"/>
        </w:trPr>
        <w:tc>
          <w:tcPr>
            <w:tcW w:w="833" w:type="pct"/>
            <w:vMerge/>
            <w:tcBorders>
              <w:top w:val="nil"/>
              <w:left w:val="single" w:sz="4" w:space="0" w:color="auto"/>
              <w:bottom w:val="single" w:sz="4" w:space="0" w:color="auto"/>
              <w:right w:val="single" w:sz="4" w:space="0" w:color="auto"/>
            </w:tcBorders>
            <w:vAlign w:val="center"/>
            <w:hideMark/>
          </w:tcPr>
          <w:p w14:paraId="2EF94032" w14:textId="77777777" w:rsidR="00730DD9" w:rsidRPr="009A38A7" w:rsidRDefault="00730DD9" w:rsidP="002D1199">
            <w:pPr>
              <w:adjustRightInd/>
              <w:snapToGrid/>
              <w:spacing w:line="240" w:lineRule="auto"/>
              <w:ind w:firstLineChars="0" w:firstLine="0"/>
              <w:rPr>
                <w:rFonts w:asciiTheme="majorEastAsia" w:eastAsiaTheme="majorEastAsia" w:hAnsiTheme="majorEastAsia" w:cs="宋体"/>
                <w:szCs w:val="24"/>
              </w:rPr>
            </w:pPr>
          </w:p>
        </w:tc>
        <w:tc>
          <w:tcPr>
            <w:tcW w:w="833" w:type="pct"/>
            <w:tcBorders>
              <w:top w:val="nil"/>
              <w:left w:val="nil"/>
              <w:bottom w:val="single" w:sz="4" w:space="0" w:color="auto"/>
              <w:right w:val="single" w:sz="4" w:space="0" w:color="auto"/>
            </w:tcBorders>
            <w:shd w:val="clear" w:color="auto" w:fill="auto"/>
            <w:vAlign w:val="center"/>
            <w:hideMark/>
          </w:tcPr>
          <w:p w14:paraId="2B207E74" w14:textId="77777777"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休闲餐饮</w:t>
            </w:r>
          </w:p>
        </w:tc>
        <w:tc>
          <w:tcPr>
            <w:tcW w:w="833" w:type="pct"/>
            <w:tcBorders>
              <w:top w:val="nil"/>
              <w:left w:val="nil"/>
              <w:bottom w:val="single" w:sz="4" w:space="0" w:color="auto"/>
              <w:right w:val="single" w:sz="4" w:space="0" w:color="auto"/>
            </w:tcBorders>
            <w:shd w:val="clear" w:color="auto" w:fill="auto"/>
            <w:vAlign w:val="center"/>
            <w:hideMark/>
          </w:tcPr>
          <w:p w14:paraId="189FFC23" w14:textId="77777777"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267</w:t>
            </w:r>
          </w:p>
        </w:tc>
        <w:tc>
          <w:tcPr>
            <w:tcW w:w="834" w:type="pct"/>
            <w:tcBorders>
              <w:top w:val="nil"/>
              <w:left w:val="nil"/>
              <w:bottom w:val="single" w:sz="4" w:space="0" w:color="auto"/>
              <w:right w:val="single" w:sz="4" w:space="0" w:color="auto"/>
            </w:tcBorders>
            <w:shd w:val="clear" w:color="auto" w:fill="auto"/>
            <w:vAlign w:val="center"/>
            <w:hideMark/>
          </w:tcPr>
          <w:p w14:paraId="4C9895F1" w14:textId="77777777"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200</w:t>
            </w:r>
          </w:p>
        </w:tc>
        <w:tc>
          <w:tcPr>
            <w:tcW w:w="833" w:type="pct"/>
            <w:tcBorders>
              <w:top w:val="nil"/>
              <w:left w:val="nil"/>
              <w:bottom w:val="single" w:sz="4" w:space="0" w:color="auto"/>
              <w:right w:val="single" w:sz="4" w:space="0" w:color="auto"/>
            </w:tcBorders>
            <w:shd w:val="clear" w:color="auto" w:fill="auto"/>
            <w:vAlign w:val="center"/>
            <w:hideMark/>
          </w:tcPr>
          <w:p w14:paraId="14BD267B" w14:textId="77777777"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55</w:t>
            </w:r>
          </w:p>
        </w:tc>
        <w:tc>
          <w:tcPr>
            <w:tcW w:w="834" w:type="pct"/>
            <w:tcBorders>
              <w:top w:val="nil"/>
              <w:left w:val="nil"/>
              <w:bottom w:val="single" w:sz="4" w:space="0" w:color="auto"/>
              <w:right w:val="single" w:sz="8" w:space="0" w:color="auto"/>
            </w:tcBorders>
            <w:shd w:val="clear" w:color="auto" w:fill="auto"/>
            <w:vAlign w:val="center"/>
            <w:hideMark/>
          </w:tcPr>
          <w:p w14:paraId="3779EDB0" w14:textId="77777777"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49</w:t>
            </w:r>
          </w:p>
        </w:tc>
      </w:tr>
      <w:tr w:rsidR="00730DD9" w:rsidRPr="009A38A7" w14:paraId="05A4C6E3" w14:textId="77777777" w:rsidTr="002D1199">
        <w:trPr>
          <w:trHeight w:val="624"/>
          <w:jc w:val="center"/>
        </w:trPr>
        <w:tc>
          <w:tcPr>
            <w:tcW w:w="833" w:type="pct"/>
            <w:vMerge w:val="restart"/>
            <w:tcBorders>
              <w:top w:val="nil"/>
              <w:left w:val="single" w:sz="4" w:space="0" w:color="auto"/>
              <w:right w:val="single" w:sz="4" w:space="0" w:color="auto"/>
            </w:tcBorders>
            <w:shd w:val="clear" w:color="auto" w:fill="auto"/>
            <w:vAlign w:val="center"/>
            <w:hideMark/>
          </w:tcPr>
          <w:p w14:paraId="2F63BBAD" w14:textId="77777777"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娱乐</w:t>
            </w:r>
          </w:p>
        </w:tc>
        <w:tc>
          <w:tcPr>
            <w:tcW w:w="833" w:type="pct"/>
            <w:tcBorders>
              <w:top w:val="nil"/>
              <w:left w:val="nil"/>
              <w:bottom w:val="single" w:sz="4" w:space="0" w:color="auto"/>
              <w:right w:val="single" w:sz="4" w:space="0" w:color="auto"/>
            </w:tcBorders>
            <w:shd w:val="clear" w:color="auto" w:fill="auto"/>
            <w:vAlign w:val="center"/>
            <w:hideMark/>
          </w:tcPr>
          <w:p w14:paraId="20239DB6" w14:textId="77777777"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电影院</w:t>
            </w:r>
          </w:p>
        </w:tc>
        <w:tc>
          <w:tcPr>
            <w:tcW w:w="833" w:type="pct"/>
            <w:tcBorders>
              <w:top w:val="nil"/>
              <w:left w:val="nil"/>
              <w:bottom w:val="single" w:sz="4" w:space="0" w:color="auto"/>
              <w:right w:val="single" w:sz="4" w:space="0" w:color="auto"/>
            </w:tcBorders>
            <w:shd w:val="clear" w:color="auto" w:fill="auto"/>
            <w:vAlign w:val="center"/>
            <w:hideMark/>
          </w:tcPr>
          <w:p w14:paraId="11661BFF" w14:textId="77777777"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135</w:t>
            </w:r>
          </w:p>
        </w:tc>
        <w:tc>
          <w:tcPr>
            <w:tcW w:w="834" w:type="pct"/>
            <w:tcBorders>
              <w:top w:val="nil"/>
              <w:left w:val="nil"/>
              <w:bottom w:val="single" w:sz="4" w:space="0" w:color="auto"/>
              <w:right w:val="single" w:sz="4" w:space="0" w:color="auto"/>
            </w:tcBorders>
            <w:shd w:val="clear" w:color="auto" w:fill="auto"/>
            <w:vAlign w:val="center"/>
            <w:hideMark/>
          </w:tcPr>
          <w:p w14:paraId="154CC70D" w14:textId="77777777"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80</w:t>
            </w:r>
          </w:p>
        </w:tc>
        <w:tc>
          <w:tcPr>
            <w:tcW w:w="833" w:type="pct"/>
            <w:tcBorders>
              <w:top w:val="nil"/>
              <w:left w:val="nil"/>
              <w:bottom w:val="single" w:sz="4" w:space="0" w:color="auto"/>
              <w:right w:val="single" w:sz="4" w:space="0" w:color="auto"/>
            </w:tcBorders>
            <w:shd w:val="clear" w:color="auto" w:fill="auto"/>
            <w:vAlign w:val="center"/>
            <w:hideMark/>
          </w:tcPr>
          <w:p w14:paraId="3D7D0727" w14:textId="590BFAAA"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w:t>
            </w:r>
          </w:p>
        </w:tc>
        <w:tc>
          <w:tcPr>
            <w:tcW w:w="834" w:type="pct"/>
            <w:tcBorders>
              <w:top w:val="nil"/>
              <w:left w:val="nil"/>
              <w:bottom w:val="single" w:sz="4" w:space="0" w:color="auto"/>
              <w:right w:val="single" w:sz="8" w:space="0" w:color="auto"/>
            </w:tcBorders>
            <w:shd w:val="clear" w:color="auto" w:fill="auto"/>
            <w:vAlign w:val="center"/>
            <w:hideMark/>
          </w:tcPr>
          <w:p w14:paraId="00883D50" w14:textId="3B9C3243"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w:t>
            </w:r>
          </w:p>
        </w:tc>
      </w:tr>
      <w:tr w:rsidR="00730DD9" w:rsidRPr="009A38A7" w14:paraId="518B238D" w14:textId="77777777" w:rsidTr="002D1199">
        <w:trPr>
          <w:trHeight w:val="624"/>
          <w:jc w:val="center"/>
        </w:trPr>
        <w:tc>
          <w:tcPr>
            <w:tcW w:w="833" w:type="pct"/>
            <w:vMerge/>
            <w:tcBorders>
              <w:left w:val="single" w:sz="4" w:space="0" w:color="auto"/>
              <w:right w:val="single" w:sz="4" w:space="0" w:color="auto"/>
            </w:tcBorders>
            <w:vAlign w:val="center"/>
            <w:hideMark/>
          </w:tcPr>
          <w:p w14:paraId="1D6E9503" w14:textId="77777777" w:rsidR="00730DD9" w:rsidRPr="009A38A7" w:rsidRDefault="00730DD9" w:rsidP="002D1199">
            <w:pPr>
              <w:adjustRightInd/>
              <w:snapToGrid/>
              <w:spacing w:line="240" w:lineRule="auto"/>
              <w:ind w:firstLineChars="0" w:firstLine="0"/>
              <w:rPr>
                <w:rFonts w:asciiTheme="majorEastAsia" w:eastAsiaTheme="majorEastAsia" w:hAnsiTheme="majorEastAsia" w:cs="宋体"/>
                <w:szCs w:val="24"/>
              </w:rPr>
            </w:pPr>
          </w:p>
        </w:tc>
        <w:tc>
          <w:tcPr>
            <w:tcW w:w="833" w:type="pct"/>
            <w:tcBorders>
              <w:top w:val="nil"/>
              <w:left w:val="nil"/>
              <w:bottom w:val="single" w:sz="4" w:space="0" w:color="auto"/>
              <w:right w:val="single" w:sz="4" w:space="0" w:color="auto"/>
            </w:tcBorders>
            <w:shd w:val="clear" w:color="auto" w:fill="auto"/>
            <w:vAlign w:val="center"/>
            <w:hideMark/>
          </w:tcPr>
          <w:p w14:paraId="365748F3" w14:textId="77777777"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KTV</w:t>
            </w:r>
          </w:p>
        </w:tc>
        <w:tc>
          <w:tcPr>
            <w:tcW w:w="833" w:type="pct"/>
            <w:tcBorders>
              <w:top w:val="nil"/>
              <w:left w:val="nil"/>
              <w:bottom w:val="single" w:sz="4" w:space="0" w:color="auto"/>
              <w:right w:val="single" w:sz="4" w:space="0" w:color="auto"/>
            </w:tcBorders>
            <w:shd w:val="clear" w:color="auto" w:fill="auto"/>
            <w:vAlign w:val="center"/>
            <w:hideMark/>
          </w:tcPr>
          <w:p w14:paraId="4D9656F3" w14:textId="77777777"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129</w:t>
            </w:r>
          </w:p>
        </w:tc>
        <w:tc>
          <w:tcPr>
            <w:tcW w:w="834" w:type="pct"/>
            <w:tcBorders>
              <w:top w:val="nil"/>
              <w:left w:val="nil"/>
              <w:bottom w:val="single" w:sz="4" w:space="0" w:color="auto"/>
              <w:right w:val="single" w:sz="4" w:space="0" w:color="auto"/>
            </w:tcBorders>
            <w:shd w:val="clear" w:color="auto" w:fill="auto"/>
            <w:vAlign w:val="center"/>
            <w:hideMark/>
          </w:tcPr>
          <w:p w14:paraId="1B928125" w14:textId="77777777"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100</w:t>
            </w:r>
          </w:p>
        </w:tc>
        <w:tc>
          <w:tcPr>
            <w:tcW w:w="833" w:type="pct"/>
            <w:tcBorders>
              <w:top w:val="nil"/>
              <w:left w:val="nil"/>
              <w:bottom w:val="single" w:sz="4" w:space="0" w:color="auto"/>
              <w:right w:val="single" w:sz="4" w:space="0" w:color="auto"/>
            </w:tcBorders>
            <w:shd w:val="clear" w:color="auto" w:fill="auto"/>
            <w:vAlign w:val="center"/>
            <w:hideMark/>
          </w:tcPr>
          <w:p w14:paraId="5E712C40" w14:textId="7240FA65"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w:t>
            </w:r>
          </w:p>
        </w:tc>
        <w:tc>
          <w:tcPr>
            <w:tcW w:w="834" w:type="pct"/>
            <w:tcBorders>
              <w:top w:val="nil"/>
              <w:left w:val="nil"/>
              <w:bottom w:val="single" w:sz="4" w:space="0" w:color="auto"/>
              <w:right w:val="single" w:sz="8" w:space="0" w:color="auto"/>
            </w:tcBorders>
            <w:shd w:val="clear" w:color="auto" w:fill="auto"/>
            <w:vAlign w:val="center"/>
            <w:hideMark/>
          </w:tcPr>
          <w:p w14:paraId="36BB7BDA" w14:textId="41D2EE86"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w:t>
            </w:r>
          </w:p>
        </w:tc>
      </w:tr>
      <w:tr w:rsidR="00730DD9" w:rsidRPr="009A38A7" w14:paraId="73719E0F" w14:textId="77777777" w:rsidTr="002D1199">
        <w:trPr>
          <w:trHeight w:val="624"/>
          <w:jc w:val="center"/>
        </w:trPr>
        <w:tc>
          <w:tcPr>
            <w:tcW w:w="833" w:type="pct"/>
            <w:vMerge/>
            <w:tcBorders>
              <w:left w:val="single" w:sz="4" w:space="0" w:color="auto"/>
              <w:right w:val="single" w:sz="4" w:space="0" w:color="auto"/>
            </w:tcBorders>
            <w:vAlign w:val="center"/>
            <w:hideMark/>
          </w:tcPr>
          <w:p w14:paraId="61DFAB64" w14:textId="77777777" w:rsidR="00730DD9" w:rsidRPr="009A38A7" w:rsidRDefault="00730DD9" w:rsidP="002D1199">
            <w:pPr>
              <w:adjustRightInd/>
              <w:snapToGrid/>
              <w:spacing w:line="240" w:lineRule="auto"/>
              <w:ind w:firstLineChars="0" w:firstLine="0"/>
              <w:rPr>
                <w:rFonts w:asciiTheme="majorEastAsia" w:eastAsiaTheme="majorEastAsia" w:hAnsiTheme="majorEastAsia" w:cs="宋体"/>
                <w:szCs w:val="24"/>
              </w:rPr>
            </w:pPr>
          </w:p>
        </w:tc>
        <w:tc>
          <w:tcPr>
            <w:tcW w:w="833" w:type="pct"/>
            <w:tcBorders>
              <w:top w:val="nil"/>
              <w:left w:val="nil"/>
              <w:bottom w:val="single" w:sz="4" w:space="0" w:color="auto"/>
              <w:right w:val="single" w:sz="4" w:space="0" w:color="auto"/>
            </w:tcBorders>
            <w:shd w:val="clear" w:color="auto" w:fill="auto"/>
            <w:vAlign w:val="center"/>
            <w:hideMark/>
          </w:tcPr>
          <w:p w14:paraId="5CBF0CFE" w14:textId="77777777"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Pr>
                <w:rFonts w:asciiTheme="majorEastAsia" w:eastAsiaTheme="majorEastAsia" w:hAnsiTheme="majorEastAsia" w:cs="宋体" w:hint="eastAsia"/>
                <w:szCs w:val="24"/>
              </w:rPr>
              <w:t>真冰溜冰场</w:t>
            </w:r>
          </w:p>
        </w:tc>
        <w:tc>
          <w:tcPr>
            <w:tcW w:w="833" w:type="pct"/>
            <w:tcBorders>
              <w:top w:val="nil"/>
              <w:left w:val="nil"/>
              <w:bottom w:val="single" w:sz="4" w:space="0" w:color="auto"/>
              <w:right w:val="single" w:sz="4" w:space="0" w:color="auto"/>
            </w:tcBorders>
            <w:shd w:val="clear" w:color="auto" w:fill="auto"/>
            <w:vAlign w:val="center"/>
            <w:hideMark/>
          </w:tcPr>
          <w:p w14:paraId="28625B2B" w14:textId="77777777"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8A44E4">
              <w:rPr>
                <w:rFonts w:asciiTheme="majorEastAsia" w:eastAsiaTheme="majorEastAsia" w:hAnsiTheme="majorEastAsia" w:cs="宋体" w:hint="eastAsia"/>
                <w:szCs w:val="24"/>
              </w:rPr>
              <w:t>600</w:t>
            </w:r>
          </w:p>
        </w:tc>
        <w:tc>
          <w:tcPr>
            <w:tcW w:w="834" w:type="pct"/>
            <w:tcBorders>
              <w:top w:val="nil"/>
              <w:left w:val="nil"/>
              <w:bottom w:val="single" w:sz="4" w:space="0" w:color="auto"/>
              <w:right w:val="single" w:sz="4" w:space="0" w:color="auto"/>
            </w:tcBorders>
            <w:shd w:val="clear" w:color="auto" w:fill="auto"/>
            <w:vAlign w:val="center"/>
            <w:hideMark/>
          </w:tcPr>
          <w:p w14:paraId="605053DD" w14:textId="77777777"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Pr>
                <w:rFonts w:asciiTheme="majorEastAsia" w:eastAsiaTheme="majorEastAsia" w:hAnsiTheme="majorEastAsia" w:cs="宋体" w:hint="eastAsia"/>
                <w:szCs w:val="24"/>
              </w:rPr>
              <w:t>500</w:t>
            </w:r>
          </w:p>
        </w:tc>
        <w:tc>
          <w:tcPr>
            <w:tcW w:w="833" w:type="pct"/>
            <w:tcBorders>
              <w:top w:val="nil"/>
              <w:left w:val="nil"/>
              <w:bottom w:val="single" w:sz="4" w:space="0" w:color="auto"/>
              <w:right w:val="single" w:sz="4" w:space="0" w:color="auto"/>
            </w:tcBorders>
            <w:shd w:val="clear" w:color="auto" w:fill="auto"/>
            <w:vAlign w:val="center"/>
            <w:hideMark/>
          </w:tcPr>
          <w:p w14:paraId="04AE3DEC" w14:textId="55C37CB5"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w:t>
            </w:r>
          </w:p>
        </w:tc>
        <w:tc>
          <w:tcPr>
            <w:tcW w:w="834" w:type="pct"/>
            <w:tcBorders>
              <w:top w:val="nil"/>
              <w:left w:val="nil"/>
              <w:bottom w:val="single" w:sz="4" w:space="0" w:color="auto"/>
              <w:right w:val="single" w:sz="8" w:space="0" w:color="auto"/>
            </w:tcBorders>
            <w:shd w:val="clear" w:color="auto" w:fill="auto"/>
            <w:vAlign w:val="center"/>
            <w:hideMark/>
          </w:tcPr>
          <w:p w14:paraId="2B8A4B25" w14:textId="54157201"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w:t>
            </w:r>
          </w:p>
        </w:tc>
      </w:tr>
      <w:tr w:rsidR="00730DD9" w:rsidRPr="009A38A7" w14:paraId="0246119B" w14:textId="77777777" w:rsidTr="002D1199">
        <w:trPr>
          <w:trHeight w:val="624"/>
          <w:jc w:val="center"/>
        </w:trPr>
        <w:tc>
          <w:tcPr>
            <w:tcW w:w="833" w:type="pct"/>
            <w:vMerge/>
            <w:tcBorders>
              <w:left w:val="single" w:sz="4" w:space="0" w:color="auto"/>
              <w:bottom w:val="single" w:sz="4" w:space="0" w:color="auto"/>
              <w:right w:val="single" w:sz="4" w:space="0" w:color="auto"/>
            </w:tcBorders>
            <w:vAlign w:val="center"/>
            <w:hideMark/>
          </w:tcPr>
          <w:p w14:paraId="68C99A8F" w14:textId="77777777" w:rsidR="00730DD9" w:rsidRPr="009A38A7" w:rsidRDefault="00730DD9" w:rsidP="002D1199">
            <w:pPr>
              <w:adjustRightInd/>
              <w:snapToGrid/>
              <w:spacing w:line="240" w:lineRule="auto"/>
              <w:ind w:firstLineChars="0" w:firstLine="0"/>
              <w:rPr>
                <w:rFonts w:asciiTheme="majorEastAsia" w:eastAsiaTheme="majorEastAsia" w:hAnsiTheme="majorEastAsia" w:cs="宋体"/>
                <w:szCs w:val="24"/>
              </w:rPr>
            </w:pPr>
          </w:p>
        </w:tc>
        <w:tc>
          <w:tcPr>
            <w:tcW w:w="833" w:type="pct"/>
            <w:tcBorders>
              <w:top w:val="nil"/>
              <w:left w:val="nil"/>
              <w:bottom w:val="single" w:sz="4" w:space="0" w:color="auto"/>
              <w:right w:val="single" w:sz="4" w:space="0" w:color="auto"/>
            </w:tcBorders>
            <w:shd w:val="clear" w:color="auto" w:fill="auto"/>
            <w:vAlign w:val="center"/>
            <w:hideMark/>
          </w:tcPr>
          <w:p w14:paraId="193B5C8F" w14:textId="77777777"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其他娱乐</w:t>
            </w:r>
          </w:p>
        </w:tc>
        <w:tc>
          <w:tcPr>
            <w:tcW w:w="833" w:type="pct"/>
            <w:tcBorders>
              <w:top w:val="nil"/>
              <w:left w:val="nil"/>
              <w:bottom w:val="single" w:sz="4" w:space="0" w:color="auto"/>
              <w:right w:val="single" w:sz="4" w:space="0" w:color="auto"/>
            </w:tcBorders>
            <w:shd w:val="clear" w:color="auto" w:fill="auto"/>
            <w:vAlign w:val="center"/>
            <w:hideMark/>
          </w:tcPr>
          <w:p w14:paraId="155A900D" w14:textId="77777777"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93</w:t>
            </w:r>
          </w:p>
        </w:tc>
        <w:tc>
          <w:tcPr>
            <w:tcW w:w="834" w:type="pct"/>
            <w:tcBorders>
              <w:top w:val="nil"/>
              <w:left w:val="nil"/>
              <w:bottom w:val="single" w:sz="4" w:space="0" w:color="auto"/>
              <w:right w:val="single" w:sz="4" w:space="0" w:color="auto"/>
            </w:tcBorders>
            <w:shd w:val="clear" w:color="auto" w:fill="auto"/>
            <w:vAlign w:val="center"/>
            <w:hideMark/>
          </w:tcPr>
          <w:p w14:paraId="4E54FBBE" w14:textId="77777777"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71</w:t>
            </w:r>
          </w:p>
        </w:tc>
        <w:tc>
          <w:tcPr>
            <w:tcW w:w="833" w:type="pct"/>
            <w:tcBorders>
              <w:top w:val="nil"/>
              <w:left w:val="nil"/>
              <w:bottom w:val="single" w:sz="4" w:space="0" w:color="auto"/>
              <w:right w:val="single" w:sz="4" w:space="0" w:color="auto"/>
            </w:tcBorders>
            <w:shd w:val="clear" w:color="auto" w:fill="auto"/>
            <w:vAlign w:val="center"/>
            <w:hideMark/>
          </w:tcPr>
          <w:p w14:paraId="2D4A8AA1" w14:textId="77777777"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54</w:t>
            </w:r>
          </w:p>
        </w:tc>
        <w:tc>
          <w:tcPr>
            <w:tcW w:w="834" w:type="pct"/>
            <w:tcBorders>
              <w:top w:val="nil"/>
              <w:left w:val="nil"/>
              <w:bottom w:val="single" w:sz="4" w:space="0" w:color="auto"/>
              <w:right w:val="single" w:sz="8" w:space="0" w:color="auto"/>
            </w:tcBorders>
            <w:shd w:val="clear" w:color="auto" w:fill="auto"/>
            <w:vAlign w:val="center"/>
            <w:hideMark/>
          </w:tcPr>
          <w:p w14:paraId="1FB51DD4" w14:textId="77777777"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49</w:t>
            </w:r>
          </w:p>
        </w:tc>
      </w:tr>
      <w:tr w:rsidR="00730DD9" w:rsidRPr="009A38A7" w14:paraId="031299BD" w14:textId="77777777" w:rsidTr="002D1199">
        <w:trPr>
          <w:trHeight w:val="624"/>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14:paraId="551E14A4" w14:textId="77777777"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公共区域</w:t>
            </w:r>
          </w:p>
        </w:tc>
        <w:tc>
          <w:tcPr>
            <w:tcW w:w="833" w:type="pct"/>
            <w:tcBorders>
              <w:top w:val="nil"/>
              <w:left w:val="nil"/>
              <w:bottom w:val="single" w:sz="4" w:space="0" w:color="auto"/>
              <w:right w:val="single" w:sz="4" w:space="0" w:color="auto"/>
            </w:tcBorders>
            <w:shd w:val="clear" w:color="auto" w:fill="auto"/>
            <w:vAlign w:val="center"/>
            <w:hideMark/>
          </w:tcPr>
          <w:p w14:paraId="7E0AAD4C" w14:textId="557450B3"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w:t>
            </w:r>
          </w:p>
        </w:tc>
        <w:tc>
          <w:tcPr>
            <w:tcW w:w="833" w:type="pct"/>
            <w:tcBorders>
              <w:top w:val="nil"/>
              <w:left w:val="nil"/>
              <w:bottom w:val="single" w:sz="4" w:space="0" w:color="auto"/>
              <w:right w:val="single" w:sz="4" w:space="0" w:color="auto"/>
            </w:tcBorders>
            <w:shd w:val="clear" w:color="auto" w:fill="auto"/>
            <w:vAlign w:val="center"/>
            <w:hideMark/>
          </w:tcPr>
          <w:p w14:paraId="7AA725A8" w14:textId="3D7FD80B" w:rsidR="00730DD9" w:rsidRPr="009A38A7" w:rsidRDefault="00213239" w:rsidP="002D1199">
            <w:pPr>
              <w:adjustRightInd/>
              <w:snapToGrid/>
              <w:spacing w:line="240" w:lineRule="auto"/>
              <w:ind w:firstLineChars="0" w:firstLine="0"/>
              <w:jc w:val="center"/>
              <w:rPr>
                <w:rFonts w:asciiTheme="majorEastAsia" w:eastAsiaTheme="majorEastAsia" w:hAnsiTheme="majorEastAsia" w:cs="宋体"/>
                <w:szCs w:val="24"/>
              </w:rPr>
            </w:pPr>
            <w:r>
              <w:rPr>
                <w:rFonts w:asciiTheme="majorEastAsia" w:eastAsiaTheme="majorEastAsia" w:hAnsiTheme="majorEastAsia" w:cs="宋体"/>
                <w:szCs w:val="24"/>
              </w:rPr>
              <w:t>86</w:t>
            </w:r>
          </w:p>
        </w:tc>
        <w:tc>
          <w:tcPr>
            <w:tcW w:w="834" w:type="pct"/>
            <w:tcBorders>
              <w:top w:val="nil"/>
              <w:left w:val="nil"/>
              <w:bottom w:val="single" w:sz="4" w:space="0" w:color="auto"/>
              <w:right w:val="single" w:sz="4" w:space="0" w:color="auto"/>
            </w:tcBorders>
            <w:shd w:val="clear" w:color="auto" w:fill="auto"/>
            <w:vAlign w:val="center"/>
            <w:hideMark/>
          </w:tcPr>
          <w:p w14:paraId="795C9158" w14:textId="6C8FFBBB" w:rsidR="00730DD9" w:rsidRPr="009A38A7" w:rsidRDefault="00213239" w:rsidP="002D1199">
            <w:pPr>
              <w:adjustRightInd/>
              <w:snapToGrid/>
              <w:spacing w:line="240" w:lineRule="auto"/>
              <w:ind w:firstLineChars="0" w:firstLine="0"/>
              <w:jc w:val="center"/>
              <w:rPr>
                <w:rFonts w:asciiTheme="majorEastAsia" w:eastAsiaTheme="majorEastAsia" w:hAnsiTheme="majorEastAsia" w:cs="宋体"/>
                <w:szCs w:val="24"/>
              </w:rPr>
            </w:pPr>
            <w:r>
              <w:rPr>
                <w:rFonts w:asciiTheme="majorEastAsia" w:eastAsiaTheme="majorEastAsia" w:hAnsiTheme="majorEastAsia" w:cs="宋体"/>
                <w:szCs w:val="24"/>
              </w:rPr>
              <w:t>52</w:t>
            </w:r>
          </w:p>
        </w:tc>
        <w:tc>
          <w:tcPr>
            <w:tcW w:w="833" w:type="pct"/>
            <w:tcBorders>
              <w:top w:val="nil"/>
              <w:left w:val="nil"/>
              <w:bottom w:val="single" w:sz="4" w:space="0" w:color="auto"/>
              <w:right w:val="single" w:sz="4" w:space="0" w:color="auto"/>
            </w:tcBorders>
            <w:shd w:val="clear" w:color="auto" w:fill="auto"/>
            <w:vAlign w:val="center"/>
            <w:hideMark/>
          </w:tcPr>
          <w:p w14:paraId="6F40CBC9" w14:textId="77777777"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54</w:t>
            </w:r>
          </w:p>
        </w:tc>
        <w:tc>
          <w:tcPr>
            <w:tcW w:w="834" w:type="pct"/>
            <w:tcBorders>
              <w:top w:val="nil"/>
              <w:left w:val="nil"/>
              <w:bottom w:val="single" w:sz="4" w:space="0" w:color="auto"/>
              <w:right w:val="single" w:sz="8" w:space="0" w:color="auto"/>
            </w:tcBorders>
            <w:shd w:val="clear" w:color="auto" w:fill="auto"/>
            <w:vAlign w:val="center"/>
            <w:hideMark/>
          </w:tcPr>
          <w:p w14:paraId="23D6D0BD" w14:textId="77777777"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49</w:t>
            </w:r>
          </w:p>
        </w:tc>
      </w:tr>
      <w:tr w:rsidR="00730DD9" w:rsidRPr="009A38A7" w14:paraId="65ADB185" w14:textId="77777777" w:rsidTr="002D1199">
        <w:trPr>
          <w:trHeight w:val="624"/>
          <w:jc w:val="center"/>
        </w:trPr>
        <w:tc>
          <w:tcPr>
            <w:tcW w:w="833" w:type="pct"/>
            <w:tcBorders>
              <w:top w:val="nil"/>
              <w:left w:val="single" w:sz="4" w:space="0" w:color="auto"/>
              <w:bottom w:val="single" w:sz="8" w:space="0" w:color="auto"/>
              <w:right w:val="single" w:sz="4" w:space="0" w:color="auto"/>
            </w:tcBorders>
            <w:shd w:val="clear" w:color="auto" w:fill="auto"/>
            <w:vAlign w:val="center"/>
            <w:hideMark/>
          </w:tcPr>
          <w:p w14:paraId="7BA0882D" w14:textId="77777777"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Pr>
                <w:rFonts w:asciiTheme="majorEastAsia" w:eastAsiaTheme="majorEastAsia" w:hAnsiTheme="majorEastAsia" w:cs="宋体" w:hint="eastAsia"/>
                <w:szCs w:val="24"/>
              </w:rPr>
              <w:t>地下停车库</w:t>
            </w:r>
          </w:p>
        </w:tc>
        <w:tc>
          <w:tcPr>
            <w:tcW w:w="833" w:type="pct"/>
            <w:tcBorders>
              <w:top w:val="nil"/>
              <w:left w:val="nil"/>
              <w:bottom w:val="single" w:sz="8" w:space="0" w:color="auto"/>
              <w:right w:val="single" w:sz="4" w:space="0" w:color="auto"/>
            </w:tcBorders>
            <w:shd w:val="clear" w:color="auto" w:fill="auto"/>
            <w:vAlign w:val="center"/>
            <w:hideMark/>
          </w:tcPr>
          <w:p w14:paraId="5895201B" w14:textId="6A48BB4A"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w:t>
            </w:r>
          </w:p>
        </w:tc>
        <w:tc>
          <w:tcPr>
            <w:tcW w:w="833" w:type="pct"/>
            <w:tcBorders>
              <w:top w:val="nil"/>
              <w:left w:val="nil"/>
              <w:bottom w:val="single" w:sz="8" w:space="0" w:color="auto"/>
              <w:right w:val="single" w:sz="4" w:space="0" w:color="auto"/>
            </w:tcBorders>
            <w:shd w:val="clear" w:color="auto" w:fill="auto"/>
            <w:vAlign w:val="center"/>
            <w:hideMark/>
          </w:tcPr>
          <w:p w14:paraId="6BFDA304" w14:textId="77777777"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6</w:t>
            </w:r>
          </w:p>
        </w:tc>
        <w:tc>
          <w:tcPr>
            <w:tcW w:w="834" w:type="pct"/>
            <w:tcBorders>
              <w:top w:val="nil"/>
              <w:left w:val="nil"/>
              <w:bottom w:val="single" w:sz="8" w:space="0" w:color="auto"/>
              <w:right w:val="single" w:sz="4" w:space="0" w:color="auto"/>
            </w:tcBorders>
            <w:shd w:val="clear" w:color="auto" w:fill="auto"/>
            <w:vAlign w:val="center"/>
            <w:hideMark/>
          </w:tcPr>
          <w:p w14:paraId="7C63D047" w14:textId="77777777"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5</w:t>
            </w:r>
          </w:p>
        </w:tc>
        <w:tc>
          <w:tcPr>
            <w:tcW w:w="833" w:type="pct"/>
            <w:tcBorders>
              <w:top w:val="nil"/>
              <w:left w:val="nil"/>
              <w:bottom w:val="single" w:sz="8" w:space="0" w:color="auto"/>
              <w:right w:val="single" w:sz="4" w:space="0" w:color="auto"/>
            </w:tcBorders>
            <w:shd w:val="clear" w:color="auto" w:fill="auto"/>
            <w:vAlign w:val="center"/>
            <w:hideMark/>
          </w:tcPr>
          <w:p w14:paraId="1C3A2F81" w14:textId="47941E9E"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w:t>
            </w:r>
          </w:p>
        </w:tc>
        <w:tc>
          <w:tcPr>
            <w:tcW w:w="834" w:type="pct"/>
            <w:tcBorders>
              <w:top w:val="nil"/>
              <w:left w:val="nil"/>
              <w:bottom w:val="single" w:sz="8" w:space="0" w:color="auto"/>
              <w:right w:val="single" w:sz="8" w:space="0" w:color="auto"/>
            </w:tcBorders>
            <w:shd w:val="clear" w:color="auto" w:fill="auto"/>
            <w:vAlign w:val="center"/>
            <w:hideMark/>
          </w:tcPr>
          <w:p w14:paraId="7F3D1724" w14:textId="18677EB3" w:rsidR="00730DD9" w:rsidRPr="009A38A7" w:rsidRDefault="00730DD9" w:rsidP="002D1199">
            <w:pPr>
              <w:adjustRightInd/>
              <w:snapToGrid/>
              <w:spacing w:line="240" w:lineRule="auto"/>
              <w:ind w:firstLineChars="0" w:firstLine="0"/>
              <w:jc w:val="center"/>
              <w:rPr>
                <w:rFonts w:asciiTheme="majorEastAsia" w:eastAsiaTheme="majorEastAsia" w:hAnsiTheme="majorEastAsia" w:cs="宋体"/>
                <w:szCs w:val="24"/>
              </w:rPr>
            </w:pPr>
            <w:r w:rsidRPr="009A38A7">
              <w:rPr>
                <w:rFonts w:asciiTheme="majorEastAsia" w:eastAsiaTheme="majorEastAsia" w:hAnsiTheme="majorEastAsia" w:cs="宋体" w:hint="eastAsia"/>
                <w:szCs w:val="24"/>
              </w:rPr>
              <w:t>—</w:t>
            </w:r>
          </w:p>
        </w:tc>
      </w:tr>
    </w:tbl>
    <w:p w14:paraId="69C9329A" w14:textId="3CCFA108" w:rsidR="00D54F3C" w:rsidRDefault="00D54F3C" w:rsidP="005E4196">
      <w:pPr>
        <w:ind w:firstLine="480"/>
      </w:pPr>
    </w:p>
    <w:sectPr w:rsidR="00D54F3C" w:rsidSect="00A6200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368E8" w14:textId="77777777" w:rsidR="006159F5" w:rsidRDefault="006159F5">
      <w:pPr>
        <w:spacing w:line="240" w:lineRule="auto"/>
        <w:ind w:firstLine="480"/>
      </w:pPr>
      <w:r>
        <w:separator/>
      </w:r>
    </w:p>
  </w:endnote>
  <w:endnote w:type="continuationSeparator" w:id="0">
    <w:p w14:paraId="3B21B38C" w14:textId="77777777" w:rsidR="006159F5" w:rsidRDefault="006159F5">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7845A" w14:textId="77777777" w:rsidR="00FB67D3" w:rsidRDefault="00FB67D3">
    <w:pPr>
      <w:pStyle w:val="a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729CA" w14:textId="77777777" w:rsidR="00FB67D3" w:rsidRDefault="00FB67D3" w:rsidP="00F16A03">
    <w:pPr>
      <w:pStyle w:val="aa"/>
      <w:ind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94970" w14:textId="77777777" w:rsidR="00FB67D3" w:rsidRDefault="00FB67D3">
    <w:pPr>
      <w:pStyle w:val="aa"/>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9543093"/>
      <w:docPartObj>
        <w:docPartGallery w:val="Page Numbers (Bottom of Page)"/>
        <w:docPartUnique/>
      </w:docPartObj>
    </w:sdtPr>
    <w:sdtEndPr/>
    <w:sdtContent>
      <w:p w14:paraId="49CA0539" w14:textId="77777777" w:rsidR="00FB67D3" w:rsidRDefault="00FB67D3">
        <w:pPr>
          <w:pStyle w:val="aa"/>
          <w:ind w:firstLine="360"/>
          <w:jc w:val="center"/>
        </w:pPr>
        <w:r>
          <w:fldChar w:fldCharType="begin"/>
        </w:r>
        <w:r>
          <w:instrText>PAGE   \* MERGEFORMAT</w:instrText>
        </w:r>
        <w:r>
          <w:fldChar w:fldCharType="separate"/>
        </w:r>
        <w:r w:rsidRPr="00594959">
          <w:rPr>
            <w:noProof/>
            <w:lang w:val="zh-CN"/>
          </w:rPr>
          <w:t>11</w:t>
        </w:r>
        <w:r>
          <w:rPr>
            <w:noProof/>
            <w:lang w:val="zh-CN"/>
          </w:rPr>
          <w:fldChar w:fldCharType="end"/>
        </w:r>
      </w:p>
    </w:sdtContent>
  </w:sdt>
  <w:p w14:paraId="663738EA" w14:textId="77777777" w:rsidR="00FB67D3" w:rsidRDefault="00FB67D3" w:rsidP="00F16A03">
    <w:pPr>
      <w:pStyle w:val="aa"/>
      <w:ind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09237" w14:textId="77777777" w:rsidR="006159F5" w:rsidRDefault="006159F5">
      <w:pPr>
        <w:spacing w:line="240" w:lineRule="auto"/>
        <w:ind w:firstLine="480"/>
      </w:pPr>
      <w:r>
        <w:separator/>
      </w:r>
    </w:p>
  </w:footnote>
  <w:footnote w:type="continuationSeparator" w:id="0">
    <w:p w14:paraId="7818A43E" w14:textId="77777777" w:rsidR="006159F5" w:rsidRDefault="006159F5">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D1676" w14:textId="77777777" w:rsidR="00FB67D3" w:rsidRDefault="00FB67D3">
    <w:pPr>
      <w:pStyle w:val="ac"/>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200F4" w14:textId="77777777" w:rsidR="00FB67D3" w:rsidRPr="00DB1C73" w:rsidRDefault="00FB67D3" w:rsidP="00DB1C73">
    <w:pPr>
      <w:pStyle w:val="ac"/>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8490F" w14:textId="77777777" w:rsidR="00FB67D3" w:rsidRDefault="00FB67D3">
    <w:pPr>
      <w:pStyle w:val="ac"/>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57486"/>
    <w:multiLevelType w:val="hybridMultilevel"/>
    <w:tmpl w:val="F8765FD2"/>
    <w:lvl w:ilvl="0" w:tplc="D6287A4C">
      <w:start w:val="1"/>
      <w:numFmt w:val="decimal"/>
      <w:lvlText w:val="%1."/>
      <w:lvlJc w:val="left"/>
      <w:pPr>
        <w:ind w:left="845" w:hanging="420"/>
      </w:pPr>
      <w:rPr>
        <w:rFonts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 w15:restartNumberingAfterBreak="0">
    <w:nsid w:val="2B4D6E1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33BA1FE6"/>
    <w:multiLevelType w:val="hybridMultilevel"/>
    <w:tmpl w:val="D7AC8E5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A167C57"/>
    <w:multiLevelType w:val="hybridMultilevel"/>
    <w:tmpl w:val="B23C4910"/>
    <w:lvl w:ilvl="0" w:tplc="CE2CF00A">
      <w:start w:val="1"/>
      <w:numFmt w:val="decimal"/>
      <w:lvlText w:val="%1."/>
      <w:lvlJc w:val="left"/>
      <w:pPr>
        <w:ind w:left="845" w:hanging="420"/>
      </w:pPr>
      <w:rPr>
        <w:rFonts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 w15:restartNumberingAfterBreak="0">
    <w:nsid w:val="50E406D5"/>
    <w:multiLevelType w:val="multilevel"/>
    <w:tmpl w:val="5AC6F8CC"/>
    <w:lvl w:ilvl="0">
      <w:start w:val="1"/>
      <w:numFmt w:val="decimal"/>
      <w:pStyle w:val="2"/>
      <w:lvlText w:val="%1"/>
      <w:lvlJc w:val="left"/>
      <w:pPr>
        <w:ind w:left="425" w:hanging="425"/>
      </w:pPr>
      <w:rPr>
        <w:rFonts w:hint="eastAsia"/>
      </w:rPr>
    </w:lvl>
    <w:lvl w:ilvl="1">
      <w:start w:val="1"/>
      <w:numFmt w:val="decimal"/>
      <w:pStyle w:val="3"/>
      <w:lvlText w:val="%1.%2"/>
      <w:lvlJc w:val="left"/>
      <w:pPr>
        <w:ind w:left="992" w:hanging="567"/>
      </w:pPr>
      <w:rPr>
        <w:rFonts w:hint="eastAsia"/>
      </w:rPr>
    </w:lvl>
    <w:lvl w:ilvl="2">
      <w:start w:val="1"/>
      <w:numFmt w:val="decimal"/>
      <w:pStyle w:val="4"/>
      <w:lvlText w:val="%1.%2.%3"/>
      <w:lvlJc w:val="left"/>
      <w:pPr>
        <w:ind w:left="1418" w:hanging="567"/>
      </w:pPr>
      <w:rPr>
        <w:rFonts w:hint="eastAsia"/>
      </w:rPr>
    </w:lvl>
    <w:lvl w:ilvl="3">
      <w:start w:val="1"/>
      <w:numFmt w:val="decimal"/>
      <w:pStyle w:val="5"/>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5D042869"/>
    <w:multiLevelType w:val="multilevel"/>
    <w:tmpl w:val="0409001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6" w15:restartNumberingAfterBreak="0">
    <w:nsid w:val="6CD911D3"/>
    <w:multiLevelType w:val="hybridMultilevel"/>
    <w:tmpl w:val="F8C646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7F1C1AC2"/>
    <w:multiLevelType w:val="hybridMultilevel"/>
    <w:tmpl w:val="8A84540E"/>
    <w:lvl w:ilvl="0" w:tplc="AAEC9DB6">
      <w:start w:val="1"/>
      <w:numFmt w:val="decimal"/>
      <w:lvlText w:val="%1."/>
      <w:lvlJc w:val="left"/>
      <w:pPr>
        <w:ind w:left="845" w:hanging="420"/>
      </w:pPr>
      <w:rPr>
        <w:rFonts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4"/>
  </w:num>
  <w:num w:numId="2">
    <w:abstractNumId w:val="1"/>
  </w:num>
  <w:num w:numId="3">
    <w:abstractNumId w:val="4"/>
  </w:num>
  <w:num w:numId="4">
    <w:abstractNumId w:val="2"/>
  </w:num>
  <w:num w:numId="5">
    <w:abstractNumId w:val="6"/>
  </w:num>
  <w:num w:numId="6">
    <w:abstractNumId w:val="4"/>
  </w:num>
  <w:num w:numId="7">
    <w:abstractNumId w:val="4"/>
  </w:num>
  <w:num w:numId="8">
    <w:abstractNumId w:val="4"/>
  </w:num>
  <w:num w:numId="9">
    <w:abstractNumId w:val="4"/>
  </w:num>
  <w:num w:numId="10">
    <w:abstractNumId w:val="5"/>
  </w:num>
  <w:num w:numId="11">
    <w:abstractNumId w:val="3"/>
  </w:num>
  <w:num w:numId="12">
    <w:abstractNumId w:val="4"/>
  </w:num>
  <w:num w:numId="13">
    <w:abstractNumId w:val="4"/>
  </w:num>
  <w:num w:numId="14">
    <w:abstractNumId w:val="4"/>
  </w:num>
  <w:num w:numId="15">
    <w:abstractNumId w:val="4"/>
  </w:num>
  <w:num w:numId="16">
    <w:abstractNumId w:val="7"/>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0"/>
  </w:num>
  <w:num w:numId="29">
    <w:abstractNumId w:val="4"/>
  </w:num>
  <w:num w:numId="3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rawingGridHorizontalSpacing w:val="110"/>
  <w:displayHorizontalDrawingGridEvery w:val="2"/>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F57"/>
    <w:rsid w:val="0000252C"/>
    <w:rsid w:val="000027FB"/>
    <w:rsid w:val="00003B30"/>
    <w:rsid w:val="0000504B"/>
    <w:rsid w:val="000060C7"/>
    <w:rsid w:val="00007D79"/>
    <w:rsid w:val="000125F7"/>
    <w:rsid w:val="00014520"/>
    <w:rsid w:val="0001505D"/>
    <w:rsid w:val="0001612D"/>
    <w:rsid w:val="00016CA0"/>
    <w:rsid w:val="00021428"/>
    <w:rsid w:val="00022ED0"/>
    <w:rsid w:val="000240E7"/>
    <w:rsid w:val="00027335"/>
    <w:rsid w:val="00030FFF"/>
    <w:rsid w:val="00032226"/>
    <w:rsid w:val="00032752"/>
    <w:rsid w:val="0003278E"/>
    <w:rsid w:val="00032E49"/>
    <w:rsid w:val="000335EC"/>
    <w:rsid w:val="00033BE8"/>
    <w:rsid w:val="00033FC2"/>
    <w:rsid w:val="000358F9"/>
    <w:rsid w:val="0003624F"/>
    <w:rsid w:val="00036F50"/>
    <w:rsid w:val="000370C0"/>
    <w:rsid w:val="00040124"/>
    <w:rsid w:val="000430BF"/>
    <w:rsid w:val="0004333B"/>
    <w:rsid w:val="000446B5"/>
    <w:rsid w:val="000457C8"/>
    <w:rsid w:val="00045D17"/>
    <w:rsid w:val="000461A2"/>
    <w:rsid w:val="00046359"/>
    <w:rsid w:val="0004651F"/>
    <w:rsid w:val="00046BF8"/>
    <w:rsid w:val="00047409"/>
    <w:rsid w:val="0005114F"/>
    <w:rsid w:val="00052219"/>
    <w:rsid w:val="00053043"/>
    <w:rsid w:val="000533D6"/>
    <w:rsid w:val="000545DF"/>
    <w:rsid w:val="00060D98"/>
    <w:rsid w:val="00063989"/>
    <w:rsid w:val="00063CD7"/>
    <w:rsid w:val="00064153"/>
    <w:rsid w:val="00065518"/>
    <w:rsid w:val="000675A7"/>
    <w:rsid w:val="00070CD3"/>
    <w:rsid w:val="00073518"/>
    <w:rsid w:val="000739C3"/>
    <w:rsid w:val="00080A2E"/>
    <w:rsid w:val="000850EE"/>
    <w:rsid w:val="00085AB0"/>
    <w:rsid w:val="00087426"/>
    <w:rsid w:val="00087B97"/>
    <w:rsid w:val="00087CB3"/>
    <w:rsid w:val="00091D55"/>
    <w:rsid w:val="00094FEA"/>
    <w:rsid w:val="00095D56"/>
    <w:rsid w:val="00096E52"/>
    <w:rsid w:val="0009700D"/>
    <w:rsid w:val="000971F2"/>
    <w:rsid w:val="00097336"/>
    <w:rsid w:val="000975B4"/>
    <w:rsid w:val="000A1723"/>
    <w:rsid w:val="000A253F"/>
    <w:rsid w:val="000A54AA"/>
    <w:rsid w:val="000A7534"/>
    <w:rsid w:val="000B0330"/>
    <w:rsid w:val="000B0870"/>
    <w:rsid w:val="000B2B1F"/>
    <w:rsid w:val="000B485D"/>
    <w:rsid w:val="000B532C"/>
    <w:rsid w:val="000C135C"/>
    <w:rsid w:val="000C2361"/>
    <w:rsid w:val="000C30E4"/>
    <w:rsid w:val="000C5307"/>
    <w:rsid w:val="000C55AA"/>
    <w:rsid w:val="000D0CBD"/>
    <w:rsid w:val="000D207A"/>
    <w:rsid w:val="000D20EC"/>
    <w:rsid w:val="000D25AC"/>
    <w:rsid w:val="000D29EE"/>
    <w:rsid w:val="000D2BAB"/>
    <w:rsid w:val="000D3294"/>
    <w:rsid w:val="000D5619"/>
    <w:rsid w:val="000D6A40"/>
    <w:rsid w:val="000D706B"/>
    <w:rsid w:val="000E3466"/>
    <w:rsid w:val="000E353D"/>
    <w:rsid w:val="000E398D"/>
    <w:rsid w:val="000E44E4"/>
    <w:rsid w:val="000E4BAA"/>
    <w:rsid w:val="000E5BE2"/>
    <w:rsid w:val="000E6A88"/>
    <w:rsid w:val="000F1DDB"/>
    <w:rsid w:val="000F33BD"/>
    <w:rsid w:val="000F3CCC"/>
    <w:rsid w:val="000F3E49"/>
    <w:rsid w:val="000F5FFB"/>
    <w:rsid w:val="000F750F"/>
    <w:rsid w:val="000F7F98"/>
    <w:rsid w:val="001014C3"/>
    <w:rsid w:val="00101BF7"/>
    <w:rsid w:val="00102A76"/>
    <w:rsid w:val="00104409"/>
    <w:rsid w:val="001055E9"/>
    <w:rsid w:val="00106369"/>
    <w:rsid w:val="00106AC7"/>
    <w:rsid w:val="00114845"/>
    <w:rsid w:val="001159C4"/>
    <w:rsid w:val="00115F21"/>
    <w:rsid w:val="00116245"/>
    <w:rsid w:val="0011762C"/>
    <w:rsid w:val="00117EB1"/>
    <w:rsid w:val="001205AE"/>
    <w:rsid w:val="0012258F"/>
    <w:rsid w:val="00122860"/>
    <w:rsid w:val="0012330B"/>
    <w:rsid w:val="001242F4"/>
    <w:rsid w:val="00124F2A"/>
    <w:rsid w:val="00125E53"/>
    <w:rsid w:val="00131229"/>
    <w:rsid w:val="00131867"/>
    <w:rsid w:val="00132147"/>
    <w:rsid w:val="001342B3"/>
    <w:rsid w:val="00140A20"/>
    <w:rsid w:val="00140DEE"/>
    <w:rsid w:val="0014206D"/>
    <w:rsid w:val="001421A8"/>
    <w:rsid w:val="001424B2"/>
    <w:rsid w:val="00142FF0"/>
    <w:rsid w:val="0014426E"/>
    <w:rsid w:val="00144CE7"/>
    <w:rsid w:val="00145B7E"/>
    <w:rsid w:val="00150662"/>
    <w:rsid w:val="0015194C"/>
    <w:rsid w:val="001519BD"/>
    <w:rsid w:val="00152967"/>
    <w:rsid w:val="00154104"/>
    <w:rsid w:val="00154B7F"/>
    <w:rsid w:val="00154E4E"/>
    <w:rsid w:val="001556EC"/>
    <w:rsid w:val="001558C7"/>
    <w:rsid w:val="00156253"/>
    <w:rsid w:val="00157227"/>
    <w:rsid w:val="001577CE"/>
    <w:rsid w:val="00160CDB"/>
    <w:rsid w:val="00161C75"/>
    <w:rsid w:val="00162809"/>
    <w:rsid w:val="001633CE"/>
    <w:rsid w:val="00163A17"/>
    <w:rsid w:val="0016565D"/>
    <w:rsid w:val="0016725F"/>
    <w:rsid w:val="001713AC"/>
    <w:rsid w:val="0017219A"/>
    <w:rsid w:val="00172A27"/>
    <w:rsid w:val="001741FB"/>
    <w:rsid w:val="00174B5C"/>
    <w:rsid w:val="0017715C"/>
    <w:rsid w:val="0017775B"/>
    <w:rsid w:val="00183EC1"/>
    <w:rsid w:val="001848DC"/>
    <w:rsid w:val="00185E48"/>
    <w:rsid w:val="001870AD"/>
    <w:rsid w:val="0018722A"/>
    <w:rsid w:val="0019163E"/>
    <w:rsid w:val="0019198F"/>
    <w:rsid w:val="00192178"/>
    <w:rsid w:val="00194484"/>
    <w:rsid w:val="00195AED"/>
    <w:rsid w:val="001A0433"/>
    <w:rsid w:val="001A3756"/>
    <w:rsid w:val="001A4A8C"/>
    <w:rsid w:val="001A4EFD"/>
    <w:rsid w:val="001A62BE"/>
    <w:rsid w:val="001B0505"/>
    <w:rsid w:val="001B0FAA"/>
    <w:rsid w:val="001B1404"/>
    <w:rsid w:val="001B15E6"/>
    <w:rsid w:val="001B1FC4"/>
    <w:rsid w:val="001B4500"/>
    <w:rsid w:val="001C0881"/>
    <w:rsid w:val="001C1FB5"/>
    <w:rsid w:val="001C6348"/>
    <w:rsid w:val="001C63FA"/>
    <w:rsid w:val="001C64BA"/>
    <w:rsid w:val="001D00AD"/>
    <w:rsid w:val="001D4A0C"/>
    <w:rsid w:val="001E1B27"/>
    <w:rsid w:val="001E2C84"/>
    <w:rsid w:val="001F2732"/>
    <w:rsid w:val="001F3A47"/>
    <w:rsid w:val="001F3DDD"/>
    <w:rsid w:val="001F52E6"/>
    <w:rsid w:val="001F5D0A"/>
    <w:rsid w:val="001F6768"/>
    <w:rsid w:val="001F699F"/>
    <w:rsid w:val="001F7045"/>
    <w:rsid w:val="001F72EA"/>
    <w:rsid w:val="001F7EDA"/>
    <w:rsid w:val="00200098"/>
    <w:rsid w:val="00200471"/>
    <w:rsid w:val="00202AAE"/>
    <w:rsid w:val="00203D43"/>
    <w:rsid w:val="00204C59"/>
    <w:rsid w:val="00213239"/>
    <w:rsid w:val="0021550C"/>
    <w:rsid w:val="002179EC"/>
    <w:rsid w:val="00220066"/>
    <w:rsid w:val="0022126C"/>
    <w:rsid w:val="0022243B"/>
    <w:rsid w:val="00223937"/>
    <w:rsid w:val="002251D0"/>
    <w:rsid w:val="00225ACB"/>
    <w:rsid w:val="00225D6E"/>
    <w:rsid w:val="00231A0A"/>
    <w:rsid w:val="002361BA"/>
    <w:rsid w:val="0024058E"/>
    <w:rsid w:val="002406D0"/>
    <w:rsid w:val="0024094A"/>
    <w:rsid w:val="002416A2"/>
    <w:rsid w:val="002425D0"/>
    <w:rsid w:val="00243291"/>
    <w:rsid w:val="002440FD"/>
    <w:rsid w:val="00245AE6"/>
    <w:rsid w:val="00246C02"/>
    <w:rsid w:val="00247009"/>
    <w:rsid w:val="0025007D"/>
    <w:rsid w:val="002516BA"/>
    <w:rsid w:val="002538A5"/>
    <w:rsid w:val="00254919"/>
    <w:rsid w:val="002549C8"/>
    <w:rsid w:val="00255A20"/>
    <w:rsid w:val="00256F19"/>
    <w:rsid w:val="002575D8"/>
    <w:rsid w:val="00260FA7"/>
    <w:rsid w:val="00261AF1"/>
    <w:rsid w:val="00263991"/>
    <w:rsid w:val="0026522D"/>
    <w:rsid w:val="00266880"/>
    <w:rsid w:val="00267241"/>
    <w:rsid w:val="00267A6A"/>
    <w:rsid w:val="00267F4A"/>
    <w:rsid w:val="00273A18"/>
    <w:rsid w:val="00283F0B"/>
    <w:rsid w:val="00284544"/>
    <w:rsid w:val="00292AB8"/>
    <w:rsid w:val="00292CDA"/>
    <w:rsid w:val="002941ED"/>
    <w:rsid w:val="0029559B"/>
    <w:rsid w:val="002A19AD"/>
    <w:rsid w:val="002A213A"/>
    <w:rsid w:val="002A274C"/>
    <w:rsid w:val="002A2FBA"/>
    <w:rsid w:val="002A67CB"/>
    <w:rsid w:val="002A765A"/>
    <w:rsid w:val="002B346C"/>
    <w:rsid w:val="002B3B08"/>
    <w:rsid w:val="002B439F"/>
    <w:rsid w:val="002B486B"/>
    <w:rsid w:val="002C15D3"/>
    <w:rsid w:val="002C2E47"/>
    <w:rsid w:val="002C4AFD"/>
    <w:rsid w:val="002C6B40"/>
    <w:rsid w:val="002D0F89"/>
    <w:rsid w:val="002D1199"/>
    <w:rsid w:val="002D241A"/>
    <w:rsid w:val="002D2B87"/>
    <w:rsid w:val="002D4A3C"/>
    <w:rsid w:val="002D4C2E"/>
    <w:rsid w:val="002D4E9F"/>
    <w:rsid w:val="002D524B"/>
    <w:rsid w:val="002E30DB"/>
    <w:rsid w:val="002E3CB9"/>
    <w:rsid w:val="002E57F2"/>
    <w:rsid w:val="002E6E8A"/>
    <w:rsid w:val="002E7CC7"/>
    <w:rsid w:val="002F1665"/>
    <w:rsid w:val="002F1827"/>
    <w:rsid w:val="002F2ABF"/>
    <w:rsid w:val="002F34EF"/>
    <w:rsid w:val="002F62ED"/>
    <w:rsid w:val="002F6B60"/>
    <w:rsid w:val="003027D9"/>
    <w:rsid w:val="00303A72"/>
    <w:rsid w:val="003042CD"/>
    <w:rsid w:val="0030495A"/>
    <w:rsid w:val="00306BAE"/>
    <w:rsid w:val="00311036"/>
    <w:rsid w:val="00311EBD"/>
    <w:rsid w:val="00311EE7"/>
    <w:rsid w:val="00312940"/>
    <w:rsid w:val="003177AF"/>
    <w:rsid w:val="0032165E"/>
    <w:rsid w:val="00321957"/>
    <w:rsid w:val="00322506"/>
    <w:rsid w:val="00322E2C"/>
    <w:rsid w:val="00323B43"/>
    <w:rsid w:val="00324E71"/>
    <w:rsid w:val="00325F53"/>
    <w:rsid w:val="00326301"/>
    <w:rsid w:val="003276CD"/>
    <w:rsid w:val="00330181"/>
    <w:rsid w:val="003311D8"/>
    <w:rsid w:val="003313C6"/>
    <w:rsid w:val="003331E7"/>
    <w:rsid w:val="00333B3C"/>
    <w:rsid w:val="0033422C"/>
    <w:rsid w:val="003356BD"/>
    <w:rsid w:val="003358B8"/>
    <w:rsid w:val="003416A1"/>
    <w:rsid w:val="0034207F"/>
    <w:rsid w:val="003455B1"/>
    <w:rsid w:val="00347619"/>
    <w:rsid w:val="00347BDE"/>
    <w:rsid w:val="00350063"/>
    <w:rsid w:val="003519BB"/>
    <w:rsid w:val="003523B3"/>
    <w:rsid w:val="0035249F"/>
    <w:rsid w:val="00355168"/>
    <w:rsid w:val="00356867"/>
    <w:rsid w:val="003604B4"/>
    <w:rsid w:val="00360C2C"/>
    <w:rsid w:val="00362298"/>
    <w:rsid w:val="00365080"/>
    <w:rsid w:val="00366990"/>
    <w:rsid w:val="00366CA5"/>
    <w:rsid w:val="00375C05"/>
    <w:rsid w:val="00375CE0"/>
    <w:rsid w:val="003763FC"/>
    <w:rsid w:val="00376E09"/>
    <w:rsid w:val="00380137"/>
    <w:rsid w:val="00381ACF"/>
    <w:rsid w:val="00384C97"/>
    <w:rsid w:val="00385B1B"/>
    <w:rsid w:val="00385FBC"/>
    <w:rsid w:val="003913C2"/>
    <w:rsid w:val="003919D8"/>
    <w:rsid w:val="0039266B"/>
    <w:rsid w:val="00392FF7"/>
    <w:rsid w:val="003939A8"/>
    <w:rsid w:val="00393E63"/>
    <w:rsid w:val="0039565E"/>
    <w:rsid w:val="003959A4"/>
    <w:rsid w:val="0039621B"/>
    <w:rsid w:val="00397723"/>
    <w:rsid w:val="003A0023"/>
    <w:rsid w:val="003A0C91"/>
    <w:rsid w:val="003A3D90"/>
    <w:rsid w:val="003A4B13"/>
    <w:rsid w:val="003A5AB4"/>
    <w:rsid w:val="003A6D41"/>
    <w:rsid w:val="003B3039"/>
    <w:rsid w:val="003B39DC"/>
    <w:rsid w:val="003B46CB"/>
    <w:rsid w:val="003B5062"/>
    <w:rsid w:val="003B7458"/>
    <w:rsid w:val="003B7792"/>
    <w:rsid w:val="003C01CA"/>
    <w:rsid w:val="003C02D8"/>
    <w:rsid w:val="003C40AB"/>
    <w:rsid w:val="003C4AF1"/>
    <w:rsid w:val="003C4D5A"/>
    <w:rsid w:val="003C6EE4"/>
    <w:rsid w:val="003C7380"/>
    <w:rsid w:val="003D0666"/>
    <w:rsid w:val="003D1788"/>
    <w:rsid w:val="003D37D8"/>
    <w:rsid w:val="003D6986"/>
    <w:rsid w:val="003D6E0A"/>
    <w:rsid w:val="003E5771"/>
    <w:rsid w:val="003E58AF"/>
    <w:rsid w:val="003F2573"/>
    <w:rsid w:val="003F3BCE"/>
    <w:rsid w:val="003F415D"/>
    <w:rsid w:val="003F5077"/>
    <w:rsid w:val="003F7CE3"/>
    <w:rsid w:val="00401A89"/>
    <w:rsid w:val="00402685"/>
    <w:rsid w:val="00403248"/>
    <w:rsid w:val="00403A84"/>
    <w:rsid w:val="0040469F"/>
    <w:rsid w:val="0041189A"/>
    <w:rsid w:val="00411CD2"/>
    <w:rsid w:val="00412482"/>
    <w:rsid w:val="00413EFC"/>
    <w:rsid w:val="00414394"/>
    <w:rsid w:val="0042010D"/>
    <w:rsid w:val="0042042F"/>
    <w:rsid w:val="00422822"/>
    <w:rsid w:val="00423101"/>
    <w:rsid w:val="00424089"/>
    <w:rsid w:val="004245E3"/>
    <w:rsid w:val="00426133"/>
    <w:rsid w:val="00432B7E"/>
    <w:rsid w:val="004358AB"/>
    <w:rsid w:val="00435A2E"/>
    <w:rsid w:val="00436417"/>
    <w:rsid w:val="00436A27"/>
    <w:rsid w:val="0044077D"/>
    <w:rsid w:val="00440E72"/>
    <w:rsid w:val="00445304"/>
    <w:rsid w:val="00445A98"/>
    <w:rsid w:val="004473B3"/>
    <w:rsid w:val="00447905"/>
    <w:rsid w:val="00452048"/>
    <w:rsid w:val="0045319A"/>
    <w:rsid w:val="004533D2"/>
    <w:rsid w:val="00454B75"/>
    <w:rsid w:val="00456245"/>
    <w:rsid w:val="0045625C"/>
    <w:rsid w:val="00456E9F"/>
    <w:rsid w:val="00461E65"/>
    <w:rsid w:val="00462822"/>
    <w:rsid w:val="0046331C"/>
    <w:rsid w:val="004639A0"/>
    <w:rsid w:val="00466055"/>
    <w:rsid w:val="00466337"/>
    <w:rsid w:val="0046712C"/>
    <w:rsid w:val="0046749B"/>
    <w:rsid w:val="0047146E"/>
    <w:rsid w:val="004727B8"/>
    <w:rsid w:val="00473326"/>
    <w:rsid w:val="00473D74"/>
    <w:rsid w:val="004765BC"/>
    <w:rsid w:val="00476964"/>
    <w:rsid w:val="004775C3"/>
    <w:rsid w:val="004775E4"/>
    <w:rsid w:val="00477B29"/>
    <w:rsid w:val="0048296E"/>
    <w:rsid w:val="00482AF4"/>
    <w:rsid w:val="00482FCE"/>
    <w:rsid w:val="0048434D"/>
    <w:rsid w:val="00484606"/>
    <w:rsid w:val="00484F5E"/>
    <w:rsid w:val="004866F5"/>
    <w:rsid w:val="00491749"/>
    <w:rsid w:val="0049224C"/>
    <w:rsid w:val="004952D2"/>
    <w:rsid w:val="00497473"/>
    <w:rsid w:val="004A2689"/>
    <w:rsid w:val="004A3704"/>
    <w:rsid w:val="004A3A94"/>
    <w:rsid w:val="004A3BAA"/>
    <w:rsid w:val="004A57D2"/>
    <w:rsid w:val="004A644D"/>
    <w:rsid w:val="004A673E"/>
    <w:rsid w:val="004A6D95"/>
    <w:rsid w:val="004A7897"/>
    <w:rsid w:val="004A7938"/>
    <w:rsid w:val="004B0E0B"/>
    <w:rsid w:val="004B1BDB"/>
    <w:rsid w:val="004B32F4"/>
    <w:rsid w:val="004B5DAF"/>
    <w:rsid w:val="004B5F52"/>
    <w:rsid w:val="004B6EF9"/>
    <w:rsid w:val="004B71A8"/>
    <w:rsid w:val="004C2F8A"/>
    <w:rsid w:val="004C5469"/>
    <w:rsid w:val="004C61A7"/>
    <w:rsid w:val="004C681C"/>
    <w:rsid w:val="004C701C"/>
    <w:rsid w:val="004C74CD"/>
    <w:rsid w:val="004C7658"/>
    <w:rsid w:val="004D0175"/>
    <w:rsid w:val="004D1F24"/>
    <w:rsid w:val="004D23A5"/>
    <w:rsid w:val="004D4531"/>
    <w:rsid w:val="004D5669"/>
    <w:rsid w:val="004D6A58"/>
    <w:rsid w:val="004D74C6"/>
    <w:rsid w:val="004E2DAF"/>
    <w:rsid w:val="004E4653"/>
    <w:rsid w:val="004E589B"/>
    <w:rsid w:val="004F20F0"/>
    <w:rsid w:val="004F235D"/>
    <w:rsid w:val="004F2A7F"/>
    <w:rsid w:val="004F3244"/>
    <w:rsid w:val="004F416B"/>
    <w:rsid w:val="004F4437"/>
    <w:rsid w:val="004F486C"/>
    <w:rsid w:val="004F4C69"/>
    <w:rsid w:val="004F5275"/>
    <w:rsid w:val="004F77CF"/>
    <w:rsid w:val="004F7948"/>
    <w:rsid w:val="004F7B35"/>
    <w:rsid w:val="00500CEE"/>
    <w:rsid w:val="005015EC"/>
    <w:rsid w:val="00501B4A"/>
    <w:rsid w:val="00504302"/>
    <w:rsid w:val="00505238"/>
    <w:rsid w:val="00505C2B"/>
    <w:rsid w:val="00506607"/>
    <w:rsid w:val="00506864"/>
    <w:rsid w:val="0051080C"/>
    <w:rsid w:val="005111F2"/>
    <w:rsid w:val="00511CBF"/>
    <w:rsid w:val="0051322A"/>
    <w:rsid w:val="005147CF"/>
    <w:rsid w:val="00514FC1"/>
    <w:rsid w:val="005161F4"/>
    <w:rsid w:val="005208E1"/>
    <w:rsid w:val="00522A08"/>
    <w:rsid w:val="00522ED7"/>
    <w:rsid w:val="00524997"/>
    <w:rsid w:val="00524F30"/>
    <w:rsid w:val="0052723D"/>
    <w:rsid w:val="00531058"/>
    <w:rsid w:val="00531C9E"/>
    <w:rsid w:val="00535F9C"/>
    <w:rsid w:val="005376A9"/>
    <w:rsid w:val="0053770B"/>
    <w:rsid w:val="005378D6"/>
    <w:rsid w:val="0054116C"/>
    <w:rsid w:val="00542736"/>
    <w:rsid w:val="00543D14"/>
    <w:rsid w:val="00544462"/>
    <w:rsid w:val="00545143"/>
    <w:rsid w:val="00553F3A"/>
    <w:rsid w:val="00554487"/>
    <w:rsid w:val="0055497F"/>
    <w:rsid w:val="005556F2"/>
    <w:rsid w:val="00556451"/>
    <w:rsid w:val="0055780D"/>
    <w:rsid w:val="00560597"/>
    <w:rsid w:val="00560B9C"/>
    <w:rsid w:val="005615A4"/>
    <w:rsid w:val="00562F9C"/>
    <w:rsid w:val="00563037"/>
    <w:rsid w:val="00563FB7"/>
    <w:rsid w:val="00565240"/>
    <w:rsid w:val="0056751B"/>
    <w:rsid w:val="00567628"/>
    <w:rsid w:val="00570886"/>
    <w:rsid w:val="005729AE"/>
    <w:rsid w:val="00574B11"/>
    <w:rsid w:val="0057705C"/>
    <w:rsid w:val="00577429"/>
    <w:rsid w:val="00577C96"/>
    <w:rsid w:val="00581093"/>
    <w:rsid w:val="00581B2A"/>
    <w:rsid w:val="0058347F"/>
    <w:rsid w:val="005837A7"/>
    <w:rsid w:val="00583A25"/>
    <w:rsid w:val="005843F2"/>
    <w:rsid w:val="005856BD"/>
    <w:rsid w:val="005906FC"/>
    <w:rsid w:val="0059146D"/>
    <w:rsid w:val="00591F8A"/>
    <w:rsid w:val="00594959"/>
    <w:rsid w:val="00595096"/>
    <w:rsid w:val="005969BC"/>
    <w:rsid w:val="00597401"/>
    <w:rsid w:val="005A0177"/>
    <w:rsid w:val="005A5820"/>
    <w:rsid w:val="005A7351"/>
    <w:rsid w:val="005B2D95"/>
    <w:rsid w:val="005B2F4B"/>
    <w:rsid w:val="005B4A46"/>
    <w:rsid w:val="005B5BC9"/>
    <w:rsid w:val="005B5CB1"/>
    <w:rsid w:val="005B6BD2"/>
    <w:rsid w:val="005B6BDE"/>
    <w:rsid w:val="005C0AED"/>
    <w:rsid w:val="005C2CB3"/>
    <w:rsid w:val="005C3F4D"/>
    <w:rsid w:val="005C415C"/>
    <w:rsid w:val="005C4E14"/>
    <w:rsid w:val="005C5F59"/>
    <w:rsid w:val="005C62C8"/>
    <w:rsid w:val="005C726B"/>
    <w:rsid w:val="005D0B23"/>
    <w:rsid w:val="005D2171"/>
    <w:rsid w:val="005D38DE"/>
    <w:rsid w:val="005D5E3A"/>
    <w:rsid w:val="005E1433"/>
    <w:rsid w:val="005E1A30"/>
    <w:rsid w:val="005E2C0C"/>
    <w:rsid w:val="005E3537"/>
    <w:rsid w:val="005E4196"/>
    <w:rsid w:val="005E4866"/>
    <w:rsid w:val="005E577B"/>
    <w:rsid w:val="005F100B"/>
    <w:rsid w:val="005F3C70"/>
    <w:rsid w:val="005F44CE"/>
    <w:rsid w:val="005F6857"/>
    <w:rsid w:val="005F7EB3"/>
    <w:rsid w:val="006033C8"/>
    <w:rsid w:val="006046E3"/>
    <w:rsid w:val="00606241"/>
    <w:rsid w:val="00607740"/>
    <w:rsid w:val="0061027A"/>
    <w:rsid w:val="00611031"/>
    <w:rsid w:val="00612D0C"/>
    <w:rsid w:val="006134DD"/>
    <w:rsid w:val="00613A8B"/>
    <w:rsid w:val="00613C0D"/>
    <w:rsid w:val="006159F5"/>
    <w:rsid w:val="006161AF"/>
    <w:rsid w:val="0061765F"/>
    <w:rsid w:val="00622D25"/>
    <w:rsid w:val="00623F83"/>
    <w:rsid w:val="0063063B"/>
    <w:rsid w:val="006308F9"/>
    <w:rsid w:val="00630C53"/>
    <w:rsid w:val="0063214D"/>
    <w:rsid w:val="00633613"/>
    <w:rsid w:val="00641553"/>
    <w:rsid w:val="0064165A"/>
    <w:rsid w:val="006441E1"/>
    <w:rsid w:val="00647529"/>
    <w:rsid w:val="00651FD0"/>
    <w:rsid w:val="00652EDF"/>
    <w:rsid w:val="006538CE"/>
    <w:rsid w:val="0065558C"/>
    <w:rsid w:val="006567BC"/>
    <w:rsid w:val="00656C9D"/>
    <w:rsid w:val="006577F5"/>
    <w:rsid w:val="00666830"/>
    <w:rsid w:val="00666D4B"/>
    <w:rsid w:val="006708C0"/>
    <w:rsid w:val="00670AC3"/>
    <w:rsid w:val="00671592"/>
    <w:rsid w:val="006743FB"/>
    <w:rsid w:val="00674499"/>
    <w:rsid w:val="00674822"/>
    <w:rsid w:val="00675C40"/>
    <w:rsid w:val="0067641E"/>
    <w:rsid w:val="006767FA"/>
    <w:rsid w:val="0068112B"/>
    <w:rsid w:val="00681942"/>
    <w:rsid w:val="00684014"/>
    <w:rsid w:val="00685B1D"/>
    <w:rsid w:val="006903B8"/>
    <w:rsid w:val="006922C0"/>
    <w:rsid w:val="006923E7"/>
    <w:rsid w:val="006937E8"/>
    <w:rsid w:val="00694777"/>
    <w:rsid w:val="006957F1"/>
    <w:rsid w:val="006A5C27"/>
    <w:rsid w:val="006B1D4A"/>
    <w:rsid w:val="006B3314"/>
    <w:rsid w:val="006B4B3A"/>
    <w:rsid w:val="006B4D88"/>
    <w:rsid w:val="006B4E66"/>
    <w:rsid w:val="006B58F5"/>
    <w:rsid w:val="006B640A"/>
    <w:rsid w:val="006B7475"/>
    <w:rsid w:val="006B7B17"/>
    <w:rsid w:val="006C03F1"/>
    <w:rsid w:val="006C04C3"/>
    <w:rsid w:val="006C40F5"/>
    <w:rsid w:val="006C598B"/>
    <w:rsid w:val="006C5E9B"/>
    <w:rsid w:val="006C69B3"/>
    <w:rsid w:val="006C74C7"/>
    <w:rsid w:val="006D03CA"/>
    <w:rsid w:val="006D248D"/>
    <w:rsid w:val="006D581C"/>
    <w:rsid w:val="006D6373"/>
    <w:rsid w:val="006D6552"/>
    <w:rsid w:val="006D7954"/>
    <w:rsid w:val="006E0489"/>
    <w:rsid w:val="006E292A"/>
    <w:rsid w:val="006E4A29"/>
    <w:rsid w:val="006E7159"/>
    <w:rsid w:val="006E7A48"/>
    <w:rsid w:val="006E7D86"/>
    <w:rsid w:val="006F009C"/>
    <w:rsid w:val="006F1463"/>
    <w:rsid w:val="006F2780"/>
    <w:rsid w:val="006F61C1"/>
    <w:rsid w:val="006F784E"/>
    <w:rsid w:val="006F7878"/>
    <w:rsid w:val="00702C01"/>
    <w:rsid w:val="00703436"/>
    <w:rsid w:val="00704714"/>
    <w:rsid w:val="00706552"/>
    <w:rsid w:val="00706E98"/>
    <w:rsid w:val="00707F8E"/>
    <w:rsid w:val="007110D7"/>
    <w:rsid w:val="0071344D"/>
    <w:rsid w:val="0071624B"/>
    <w:rsid w:val="007166B5"/>
    <w:rsid w:val="00716D73"/>
    <w:rsid w:val="00717623"/>
    <w:rsid w:val="00720CA0"/>
    <w:rsid w:val="00721560"/>
    <w:rsid w:val="007219F7"/>
    <w:rsid w:val="00721CC7"/>
    <w:rsid w:val="0072413A"/>
    <w:rsid w:val="007244C9"/>
    <w:rsid w:val="007249E7"/>
    <w:rsid w:val="007273E8"/>
    <w:rsid w:val="00730DD9"/>
    <w:rsid w:val="007310F5"/>
    <w:rsid w:val="0073365D"/>
    <w:rsid w:val="007350C5"/>
    <w:rsid w:val="0073701E"/>
    <w:rsid w:val="00740226"/>
    <w:rsid w:val="007419DD"/>
    <w:rsid w:val="00742953"/>
    <w:rsid w:val="00743933"/>
    <w:rsid w:val="00744513"/>
    <w:rsid w:val="00745971"/>
    <w:rsid w:val="00745D69"/>
    <w:rsid w:val="00747D71"/>
    <w:rsid w:val="007525D8"/>
    <w:rsid w:val="007527B1"/>
    <w:rsid w:val="007577AC"/>
    <w:rsid w:val="0076072F"/>
    <w:rsid w:val="007608EC"/>
    <w:rsid w:val="007616A5"/>
    <w:rsid w:val="00761844"/>
    <w:rsid w:val="0076380C"/>
    <w:rsid w:val="0076453E"/>
    <w:rsid w:val="00764F43"/>
    <w:rsid w:val="00765461"/>
    <w:rsid w:val="00765E1E"/>
    <w:rsid w:val="00766408"/>
    <w:rsid w:val="00767643"/>
    <w:rsid w:val="00767BDD"/>
    <w:rsid w:val="00772BAB"/>
    <w:rsid w:val="007755BF"/>
    <w:rsid w:val="00775747"/>
    <w:rsid w:val="00775D26"/>
    <w:rsid w:val="00777C96"/>
    <w:rsid w:val="00777CBA"/>
    <w:rsid w:val="00780455"/>
    <w:rsid w:val="00782292"/>
    <w:rsid w:val="00783890"/>
    <w:rsid w:val="00783D4A"/>
    <w:rsid w:val="00786521"/>
    <w:rsid w:val="00793B46"/>
    <w:rsid w:val="007976AE"/>
    <w:rsid w:val="007A0472"/>
    <w:rsid w:val="007A0C24"/>
    <w:rsid w:val="007A1287"/>
    <w:rsid w:val="007A25D5"/>
    <w:rsid w:val="007A40AE"/>
    <w:rsid w:val="007A6DC5"/>
    <w:rsid w:val="007B029F"/>
    <w:rsid w:val="007B0506"/>
    <w:rsid w:val="007B1511"/>
    <w:rsid w:val="007B15D6"/>
    <w:rsid w:val="007B33B0"/>
    <w:rsid w:val="007C1B4B"/>
    <w:rsid w:val="007C26FD"/>
    <w:rsid w:val="007C2C29"/>
    <w:rsid w:val="007C3652"/>
    <w:rsid w:val="007C3CFF"/>
    <w:rsid w:val="007C4ACC"/>
    <w:rsid w:val="007C57E2"/>
    <w:rsid w:val="007C607C"/>
    <w:rsid w:val="007D02A6"/>
    <w:rsid w:val="007D040D"/>
    <w:rsid w:val="007D05AC"/>
    <w:rsid w:val="007D2154"/>
    <w:rsid w:val="007D2CF6"/>
    <w:rsid w:val="007D2D19"/>
    <w:rsid w:val="007D35C2"/>
    <w:rsid w:val="007D3B03"/>
    <w:rsid w:val="007D407D"/>
    <w:rsid w:val="007D5406"/>
    <w:rsid w:val="007D6C8E"/>
    <w:rsid w:val="007D76FB"/>
    <w:rsid w:val="007E0100"/>
    <w:rsid w:val="007E0B41"/>
    <w:rsid w:val="007E3F12"/>
    <w:rsid w:val="007E591A"/>
    <w:rsid w:val="007E75E5"/>
    <w:rsid w:val="007E7626"/>
    <w:rsid w:val="007F0DC0"/>
    <w:rsid w:val="007F1070"/>
    <w:rsid w:val="007F16F0"/>
    <w:rsid w:val="007F1A82"/>
    <w:rsid w:val="007F2264"/>
    <w:rsid w:val="007F2994"/>
    <w:rsid w:val="007F4AF7"/>
    <w:rsid w:val="00802771"/>
    <w:rsid w:val="00804200"/>
    <w:rsid w:val="008043D7"/>
    <w:rsid w:val="00805997"/>
    <w:rsid w:val="00805BE0"/>
    <w:rsid w:val="00805E0E"/>
    <w:rsid w:val="008061E2"/>
    <w:rsid w:val="0080666F"/>
    <w:rsid w:val="0081006A"/>
    <w:rsid w:val="0081468B"/>
    <w:rsid w:val="00814D04"/>
    <w:rsid w:val="00814FF4"/>
    <w:rsid w:val="0081557A"/>
    <w:rsid w:val="00815D02"/>
    <w:rsid w:val="00816634"/>
    <w:rsid w:val="00820879"/>
    <w:rsid w:val="0082139B"/>
    <w:rsid w:val="00822927"/>
    <w:rsid w:val="0082394A"/>
    <w:rsid w:val="00823B08"/>
    <w:rsid w:val="00830156"/>
    <w:rsid w:val="0083287F"/>
    <w:rsid w:val="00832A89"/>
    <w:rsid w:val="00832F2C"/>
    <w:rsid w:val="008337B3"/>
    <w:rsid w:val="0083428F"/>
    <w:rsid w:val="008344BD"/>
    <w:rsid w:val="008350ED"/>
    <w:rsid w:val="00835F6D"/>
    <w:rsid w:val="0083712D"/>
    <w:rsid w:val="0084246A"/>
    <w:rsid w:val="00843C6A"/>
    <w:rsid w:val="00844BE7"/>
    <w:rsid w:val="0084633A"/>
    <w:rsid w:val="0084662A"/>
    <w:rsid w:val="00846F5A"/>
    <w:rsid w:val="00847BE1"/>
    <w:rsid w:val="008526A2"/>
    <w:rsid w:val="008566C1"/>
    <w:rsid w:val="00856961"/>
    <w:rsid w:val="00861EA7"/>
    <w:rsid w:val="00865F80"/>
    <w:rsid w:val="00866D9C"/>
    <w:rsid w:val="00866E28"/>
    <w:rsid w:val="00866F24"/>
    <w:rsid w:val="008717C9"/>
    <w:rsid w:val="008731C3"/>
    <w:rsid w:val="00873C8E"/>
    <w:rsid w:val="008741C7"/>
    <w:rsid w:val="00874A31"/>
    <w:rsid w:val="008772E7"/>
    <w:rsid w:val="008777C7"/>
    <w:rsid w:val="00880495"/>
    <w:rsid w:val="00882A50"/>
    <w:rsid w:val="00883EE8"/>
    <w:rsid w:val="00886B72"/>
    <w:rsid w:val="00887CFB"/>
    <w:rsid w:val="00892907"/>
    <w:rsid w:val="008948E8"/>
    <w:rsid w:val="0089602F"/>
    <w:rsid w:val="00897198"/>
    <w:rsid w:val="008A15CE"/>
    <w:rsid w:val="008A1B50"/>
    <w:rsid w:val="008A27E1"/>
    <w:rsid w:val="008A3089"/>
    <w:rsid w:val="008A44E4"/>
    <w:rsid w:val="008A5E21"/>
    <w:rsid w:val="008B041B"/>
    <w:rsid w:val="008B18A8"/>
    <w:rsid w:val="008B4258"/>
    <w:rsid w:val="008B5D36"/>
    <w:rsid w:val="008B757D"/>
    <w:rsid w:val="008B7726"/>
    <w:rsid w:val="008B788C"/>
    <w:rsid w:val="008C0A36"/>
    <w:rsid w:val="008C106B"/>
    <w:rsid w:val="008C3F84"/>
    <w:rsid w:val="008C55CE"/>
    <w:rsid w:val="008C6A29"/>
    <w:rsid w:val="008D0DBF"/>
    <w:rsid w:val="008D19E1"/>
    <w:rsid w:val="008D2BB6"/>
    <w:rsid w:val="008D35B2"/>
    <w:rsid w:val="008D3F02"/>
    <w:rsid w:val="008D653D"/>
    <w:rsid w:val="008D7B77"/>
    <w:rsid w:val="008E097D"/>
    <w:rsid w:val="008E15C8"/>
    <w:rsid w:val="008E54E8"/>
    <w:rsid w:val="008E5E20"/>
    <w:rsid w:val="008E63BB"/>
    <w:rsid w:val="008E6906"/>
    <w:rsid w:val="008E7832"/>
    <w:rsid w:val="008F1235"/>
    <w:rsid w:val="008F1295"/>
    <w:rsid w:val="008F1A62"/>
    <w:rsid w:val="008F4C09"/>
    <w:rsid w:val="008F558D"/>
    <w:rsid w:val="00900328"/>
    <w:rsid w:val="00902091"/>
    <w:rsid w:val="00903D19"/>
    <w:rsid w:val="0090412B"/>
    <w:rsid w:val="00904AC0"/>
    <w:rsid w:val="00905349"/>
    <w:rsid w:val="00905AEA"/>
    <w:rsid w:val="00905D4E"/>
    <w:rsid w:val="00905F20"/>
    <w:rsid w:val="00906CA7"/>
    <w:rsid w:val="00910122"/>
    <w:rsid w:val="00910729"/>
    <w:rsid w:val="00913894"/>
    <w:rsid w:val="00915E56"/>
    <w:rsid w:val="00916294"/>
    <w:rsid w:val="009228CD"/>
    <w:rsid w:val="00922A17"/>
    <w:rsid w:val="0092355D"/>
    <w:rsid w:val="00925FF0"/>
    <w:rsid w:val="0092654B"/>
    <w:rsid w:val="00926DC2"/>
    <w:rsid w:val="00926EA1"/>
    <w:rsid w:val="009271E1"/>
    <w:rsid w:val="00927E1F"/>
    <w:rsid w:val="009307B1"/>
    <w:rsid w:val="00931C4A"/>
    <w:rsid w:val="009322CF"/>
    <w:rsid w:val="00932B93"/>
    <w:rsid w:val="0093377E"/>
    <w:rsid w:val="00935138"/>
    <w:rsid w:val="00937799"/>
    <w:rsid w:val="009377E1"/>
    <w:rsid w:val="009379C7"/>
    <w:rsid w:val="00940FEB"/>
    <w:rsid w:val="009432BF"/>
    <w:rsid w:val="0094765A"/>
    <w:rsid w:val="00947C76"/>
    <w:rsid w:val="009539BB"/>
    <w:rsid w:val="00953B74"/>
    <w:rsid w:val="009566E6"/>
    <w:rsid w:val="009622A9"/>
    <w:rsid w:val="00963A0A"/>
    <w:rsid w:val="00964311"/>
    <w:rsid w:val="00965F50"/>
    <w:rsid w:val="0096723E"/>
    <w:rsid w:val="00967AE6"/>
    <w:rsid w:val="00970861"/>
    <w:rsid w:val="00970A27"/>
    <w:rsid w:val="0098032F"/>
    <w:rsid w:val="00980869"/>
    <w:rsid w:val="00981A1C"/>
    <w:rsid w:val="009845A5"/>
    <w:rsid w:val="009860C6"/>
    <w:rsid w:val="00987299"/>
    <w:rsid w:val="00994021"/>
    <w:rsid w:val="00994CF1"/>
    <w:rsid w:val="00995003"/>
    <w:rsid w:val="00995E0C"/>
    <w:rsid w:val="009A0045"/>
    <w:rsid w:val="009A029C"/>
    <w:rsid w:val="009A06E5"/>
    <w:rsid w:val="009A130F"/>
    <w:rsid w:val="009A3195"/>
    <w:rsid w:val="009A38A7"/>
    <w:rsid w:val="009A3A4C"/>
    <w:rsid w:val="009A3CE9"/>
    <w:rsid w:val="009A49A8"/>
    <w:rsid w:val="009A5974"/>
    <w:rsid w:val="009A77BE"/>
    <w:rsid w:val="009A795A"/>
    <w:rsid w:val="009B3221"/>
    <w:rsid w:val="009B3892"/>
    <w:rsid w:val="009B4F0E"/>
    <w:rsid w:val="009B703D"/>
    <w:rsid w:val="009B7546"/>
    <w:rsid w:val="009C02DA"/>
    <w:rsid w:val="009C2D1C"/>
    <w:rsid w:val="009C35E5"/>
    <w:rsid w:val="009C4AAD"/>
    <w:rsid w:val="009C6646"/>
    <w:rsid w:val="009C6E60"/>
    <w:rsid w:val="009D12FC"/>
    <w:rsid w:val="009D219F"/>
    <w:rsid w:val="009D534A"/>
    <w:rsid w:val="009D72AC"/>
    <w:rsid w:val="009D7BAC"/>
    <w:rsid w:val="009D7BB7"/>
    <w:rsid w:val="009E0285"/>
    <w:rsid w:val="009E10CD"/>
    <w:rsid w:val="009E3082"/>
    <w:rsid w:val="009E536B"/>
    <w:rsid w:val="009E5CC3"/>
    <w:rsid w:val="009E69C4"/>
    <w:rsid w:val="009E6F06"/>
    <w:rsid w:val="009E79F1"/>
    <w:rsid w:val="009E7FBA"/>
    <w:rsid w:val="009F1CB0"/>
    <w:rsid w:val="009F2F83"/>
    <w:rsid w:val="009F3810"/>
    <w:rsid w:val="009F4B8C"/>
    <w:rsid w:val="009F5092"/>
    <w:rsid w:val="00A00163"/>
    <w:rsid w:val="00A01DE1"/>
    <w:rsid w:val="00A02801"/>
    <w:rsid w:val="00A02EE2"/>
    <w:rsid w:val="00A06E53"/>
    <w:rsid w:val="00A11A06"/>
    <w:rsid w:val="00A11E19"/>
    <w:rsid w:val="00A120A7"/>
    <w:rsid w:val="00A1312E"/>
    <w:rsid w:val="00A13A3B"/>
    <w:rsid w:val="00A13B82"/>
    <w:rsid w:val="00A14399"/>
    <w:rsid w:val="00A169FE"/>
    <w:rsid w:val="00A16D54"/>
    <w:rsid w:val="00A21D00"/>
    <w:rsid w:val="00A23070"/>
    <w:rsid w:val="00A30689"/>
    <w:rsid w:val="00A306F3"/>
    <w:rsid w:val="00A30FB2"/>
    <w:rsid w:val="00A31580"/>
    <w:rsid w:val="00A31ACF"/>
    <w:rsid w:val="00A336C8"/>
    <w:rsid w:val="00A34E46"/>
    <w:rsid w:val="00A34F4B"/>
    <w:rsid w:val="00A3664C"/>
    <w:rsid w:val="00A37971"/>
    <w:rsid w:val="00A4080B"/>
    <w:rsid w:val="00A40A84"/>
    <w:rsid w:val="00A40C8F"/>
    <w:rsid w:val="00A41261"/>
    <w:rsid w:val="00A43264"/>
    <w:rsid w:val="00A43716"/>
    <w:rsid w:val="00A44324"/>
    <w:rsid w:val="00A456B5"/>
    <w:rsid w:val="00A460E9"/>
    <w:rsid w:val="00A46106"/>
    <w:rsid w:val="00A476CD"/>
    <w:rsid w:val="00A47CE7"/>
    <w:rsid w:val="00A500B9"/>
    <w:rsid w:val="00A50F5B"/>
    <w:rsid w:val="00A564E4"/>
    <w:rsid w:val="00A609C6"/>
    <w:rsid w:val="00A62003"/>
    <w:rsid w:val="00A62E96"/>
    <w:rsid w:val="00A64F22"/>
    <w:rsid w:val="00A661D3"/>
    <w:rsid w:val="00A67074"/>
    <w:rsid w:val="00A670A5"/>
    <w:rsid w:val="00A6761D"/>
    <w:rsid w:val="00A7299A"/>
    <w:rsid w:val="00A73776"/>
    <w:rsid w:val="00A7458F"/>
    <w:rsid w:val="00A746CB"/>
    <w:rsid w:val="00A75041"/>
    <w:rsid w:val="00A7533D"/>
    <w:rsid w:val="00A7759B"/>
    <w:rsid w:val="00A81244"/>
    <w:rsid w:val="00A815E7"/>
    <w:rsid w:val="00A830FC"/>
    <w:rsid w:val="00A831FE"/>
    <w:rsid w:val="00A83DD9"/>
    <w:rsid w:val="00A841A5"/>
    <w:rsid w:val="00A85D58"/>
    <w:rsid w:val="00A862C8"/>
    <w:rsid w:val="00A903D0"/>
    <w:rsid w:val="00A93A24"/>
    <w:rsid w:val="00A9502F"/>
    <w:rsid w:val="00A95C68"/>
    <w:rsid w:val="00A9609C"/>
    <w:rsid w:val="00A96FD0"/>
    <w:rsid w:val="00AA2868"/>
    <w:rsid w:val="00AA2E01"/>
    <w:rsid w:val="00AA3373"/>
    <w:rsid w:val="00AA38FE"/>
    <w:rsid w:val="00AA7588"/>
    <w:rsid w:val="00AA7C76"/>
    <w:rsid w:val="00AA7F49"/>
    <w:rsid w:val="00AB1469"/>
    <w:rsid w:val="00AB1BB0"/>
    <w:rsid w:val="00AB1C5B"/>
    <w:rsid w:val="00AB23CA"/>
    <w:rsid w:val="00AB41E3"/>
    <w:rsid w:val="00AB5B89"/>
    <w:rsid w:val="00AB7F18"/>
    <w:rsid w:val="00AC1F80"/>
    <w:rsid w:val="00AC2C7F"/>
    <w:rsid w:val="00AC4D60"/>
    <w:rsid w:val="00AC506C"/>
    <w:rsid w:val="00AD064B"/>
    <w:rsid w:val="00AD0D57"/>
    <w:rsid w:val="00AD0DE1"/>
    <w:rsid w:val="00AD28DB"/>
    <w:rsid w:val="00AD4CA9"/>
    <w:rsid w:val="00AD52EB"/>
    <w:rsid w:val="00AE4004"/>
    <w:rsid w:val="00AE54A1"/>
    <w:rsid w:val="00AE5734"/>
    <w:rsid w:val="00AE6EF4"/>
    <w:rsid w:val="00AE755C"/>
    <w:rsid w:val="00AE7631"/>
    <w:rsid w:val="00AE77A5"/>
    <w:rsid w:val="00AE7D5D"/>
    <w:rsid w:val="00AF3D57"/>
    <w:rsid w:val="00AF7834"/>
    <w:rsid w:val="00AF7980"/>
    <w:rsid w:val="00B001D2"/>
    <w:rsid w:val="00B041B1"/>
    <w:rsid w:val="00B041D5"/>
    <w:rsid w:val="00B044B7"/>
    <w:rsid w:val="00B0561C"/>
    <w:rsid w:val="00B06A01"/>
    <w:rsid w:val="00B11851"/>
    <w:rsid w:val="00B11B8F"/>
    <w:rsid w:val="00B1250C"/>
    <w:rsid w:val="00B12DAC"/>
    <w:rsid w:val="00B12E8A"/>
    <w:rsid w:val="00B144F0"/>
    <w:rsid w:val="00B160A4"/>
    <w:rsid w:val="00B20DE3"/>
    <w:rsid w:val="00B248A4"/>
    <w:rsid w:val="00B25BA2"/>
    <w:rsid w:val="00B32E60"/>
    <w:rsid w:val="00B36AA3"/>
    <w:rsid w:val="00B36C2B"/>
    <w:rsid w:val="00B36F18"/>
    <w:rsid w:val="00B371FE"/>
    <w:rsid w:val="00B37B03"/>
    <w:rsid w:val="00B40B1D"/>
    <w:rsid w:val="00B40CF1"/>
    <w:rsid w:val="00B41F79"/>
    <w:rsid w:val="00B41FAE"/>
    <w:rsid w:val="00B4294B"/>
    <w:rsid w:val="00B45353"/>
    <w:rsid w:val="00B46508"/>
    <w:rsid w:val="00B46C34"/>
    <w:rsid w:val="00B47094"/>
    <w:rsid w:val="00B4792F"/>
    <w:rsid w:val="00B500F1"/>
    <w:rsid w:val="00B50B8B"/>
    <w:rsid w:val="00B50C35"/>
    <w:rsid w:val="00B53926"/>
    <w:rsid w:val="00B54062"/>
    <w:rsid w:val="00B54441"/>
    <w:rsid w:val="00B56112"/>
    <w:rsid w:val="00B60081"/>
    <w:rsid w:val="00B603BA"/>
    <w:rsid w:val="00B61236"/>
    <w:rsid w:val="00B6230E"/>
    <w:rsid w:val="00B64226"/>
    <w:rsid w:val="00B642E3"/>
    <w:rsid w:val="00B71042"/>
    <w:rsid w:val="00B71747"/>
    <w:rsid w:val="00B7315C"/>
    <w:rsid w:val="00B7451E"/>
    <w:rsid w:val="00B76EF4"/>
    <w:rsid w:val="00B76FF9"/>
    <w:rsid w:val="00B8008F"/>
    <w:rsid w:val="00B81942"/>
    <w:rsid w:val="00B82E1F"/>
    <w:rsid w:val="00B83E2C"/>
    <w:rsid w:val="00B84D46"/>
    <w:rsid w:val="00B8504D"/>
    <w:rsid w:val="00B93D5A"/>
    <w:rsid w:val="00B956F6"/>
    <w:rsid w:val="00B95AFB"/>
    <w:rsid w:val="00B96970"/>
    <w:rsid w:val="00BA05BC"/>
    <w:rsid w:val="00BA2459"/>
    <w:rsid w:val="00BA2DBD"/>
    <w:rsid w:val="00BA3D5D"/>
    <w:rsid w:val="00BA4A77"/>
    <w:rsid w:val="00BA53D8"/>
    <w:rsid w:val="00BA6D57"/>
    <w:rsid w:val="00BB0D3A"/>
    <w:rsid w:val="00BB0EF5"/>
    <w:rsid w:val="00BB1E6C"/>
    <w:rsid w:val="00BB4108"/>
    <w:rsid w:val="00BB41C0"/>
    <w:rsid w:val="00BB7D7C"/>
    <w:rsid w:val="00BC0626"/>
    <w:rsid w:val="00BC0A3C"/>
    <w:rsid w:val="00BC2155"/>
    <w:rsid w:val="00BC2ADC"/>
    <w:rsid w:val="00BC50F8"/>
    <w:rsid w:val="00BC7A0A"/>
    <w:rsid w:val="00BC7A2A"/>
    <w:rsid w:val="00BD1239"/>
    <w:rsid w:val="00BD2B61"/>
    <w:rsid w:val="00BD38E0"/>
    <w:rsid w:val="00BE4ED3"/>
    <w:rsid w:val="00BE5A54"/>
    <w:rsid w:val="00BF0ACE"/>
    <w:rsid w:val="00BF1EF0"/>
    <w:rsid w:val="00BF339F"/>
    <w:rsid w:val="00BF48DB"/>
    <w:rsid w:val="00BF5779"/>
    <w:rsid w:val="00BF6504"/>
    <w:rsid w:val="00BF740E"/>
    <w:rsid w:val="00BF7986"/>
    <w:rsid w:val="00C017E7"/>
    <w:rsid w:val="00C028AA"/>
    <w:rsid w:val="00C04E1F"/>
    <w:rsid w:val="00C06CEB"/>
    <w:rsid w:val="00C0754A"/>
    <w:rsid w:val="00C07B70"/>
    <w:rsid w:val="00C10F26"/>
    <w:rsid w:val="00C11DDB"/>
    <w:rsid w:val="00C151BB"/>
    <w:rsid w:val="00C15A1A"/>
    <w:rsid w:val="00C15F5F"/>
    <w:rsid w:val="00C168FB"/>
    <w:rsid w:val="00C17B70"/>
    <w:rsid w:val="00C236E0"/>
    <w:rsid w:val="00C24692"/>
    <w:rsid w:val="00C24A7A"/>
    <w:rsid w:val="00C24E2A"/>
    <w:rsid w:val="00C271CF"/>
    <w:rsid w:val="00C300AC"/>
    <w:rsid w:val="00C301F6"/>
    <w:rsid w:val="00C30702"/>
    <w:rsid w:val="00C32434"/>
    <w:rsid w:val="00C34C2A"/>
    <w:rsid w:val="00C356FD"/>
    <w:rsid w:val="00C3585B"/>
    <w:rsid w:val="00C363AC"/>
    <w:rsid w:val="00C41BA8"/>
    <w:rsid w:val="00C41F07"/>
    <w:rsid w:val="00C4324A"/>
    <w:rsid w:val="00C44542"/>
    <w:rsid w:val="00C47B40"/>
    <w:rsid w:val="00C52EDC"/>
    <w:rsid w:val="00C54ACD"/>
    <w:rsid w:val="00C6098A"/>
    <w:rsid w:val="00C62058"/>
    <w:rsid w:val="00C65BEC"/>
    <w:rsid w:val="00C65C06"/>
    <w:rsid w:val="00C679F4"/>
    <w:rsid w:val="00C728EC"/>
    <w:rsid w:val="00C7398D"/>
    <w:rsid w:val="00C7507C"/>
    <w:rsid w:val="00C76B66"/>
    <w:rsid w:val="00C777A7"/>
    <w:rsid w:val="00C80070"/>
    <w:rsid w:val="00C80CEE"/>
    <w:rsid w:val="00C817A4"/>
    <w:rsid w:val="00C819B7"/>
    <w:rsid w:val="00C81FAE"/>
    <w:rsid w:val="00C83137"/>
    <w:rsid w:val="00C85D20"/>
    <w:rsid w:val="00C9063B"/>
    <w:rsid w:val="00C907DC"/>
    <w:rsid w:val="00C9294B"/>
    <w:rsid w:val="00C94FC6"/>
    <w:rsid w:val="00C95533"/>
    <w:rsid w:val="00C96C78"/>
    <w:rsid w:val="00C96FE3"/>
    <w:rsid w:val="00CA12D4"/>
    <w:rsid w:val="00CA22A0"/>
    <w:rsid w:val="00CA341D"/>
    <w:rsid w:val="00CA53F3"/>
    <w:rsid w:val="00CA7E87"/>
    <w:rsid w:val="00CB1C67"/>
    <w:rsid w:val="00CB43DB"/>
    <w:rsid w:val="00CC278D"/>
    <w:rsid w:val="00CC3A8B"/>
    <w:rsid w:val="00CC71E3"/>
    <w:rsid w:val="00CD037E"/>
    <w:rsid w:val="00CE022E"/>
    <w:rsid w:val="00CE0C8B"/>
    <w:rsid w:val="00CE3B96"/>
    <w:rsid w:val="00CE3BFC"/>
    <w:rsid w:val="00CE55C1"/>
    <w:rsid w:val="00CE5D98"/>
    <w:rsid w:val="00CE6324"/>
    <w:rsid w:val="00CE7ACD"/>
    <w:rsid w:val="00CF08D5"/>
    <w:rsid w:val="00CF0A25"/>
    <w:rsid w:val="00CF1E00"/>
    <w:rsid w:val="00CF3D63"/>
    <w:rsid w:val="00CF5CD5"/>
    <w:rsid w:val="00CF77CE"/>
    <w:rsid w:val="00CF7E2C"/>
    <w:rsid w:val="00D0016B"/>
    <w:rsid w:val="00D00973"/>
    <w:rsid w:val="00D012A9"/>
    <w:rsid w:val="00D0135A"/>
    <w:rsid w:val="00D0306B"/>
    <w:rsid w:val="00D0329F"/>
    <w:rsid w:val="00D03493"/>
    <w:rsid w:val="00D041B1"/>
    <w:rsid w:val="00D04557"/>
    <w:rsid w:val="00D0541A"/>
    <w:rsid w:val="00D0586A"/>
    <w:rsid w:val="00D05B87"/>
    <w:rsid w:val="00D07623"/>
    <w:rsid w:val="00D124B6"/>
    <w:rsid w:val="00D17FB3"/>
    <w:rsid w:val="00D20BD9"/>
    <w:rsid w:val="00D21B93"/>
    <w:rsid w:val="00D22D92"/>
    <w:rsid w:val="00D2389E"/>
    <w:rsid w:val="00D238BF"/>
    <w:rsid w:val="00D27608"/>
    <w:rsid w:val="00D279EF"/>
    <w:rsid w:val="00D30F9F"/>
    <w:rsid w:val="00D31080"/>
    <w:rsid w:val="00D31D50"/>
    <w:rsid w:val="00D34037"/>
    <w:rsid w:val="00D3557D"/>
    <w:rsid w:val="00D37F60"/>
    <w:rsid w:val="00D4258C"/>
    <w:rsid w:val="00D42C6A"/>
    <w:rsid w:val="00D4346D"/>
    <w:rsid w:val="00D43BC1"/>
    <w:rsid w:val="00D4464A"/>
    <w:rsid w:val="00D4640D"/>
    <w:rsid w:val="00D525A7"/>
    <w:rsid w:val="00D547DD"/>
    <w:rsid w:val="00D54F3C"/>
    <w:rsid w:val="00D57CED"/>
    <w:rsid w:val="00D60A71"/>
    <w:rsid w:val="00D61AC0"/>
    <w:rsid w:val="00D63C50"/>
    <w:rsid w:val="00D63EAD"/>
    <w:rsid w:val="00D63FDA"/>
    <w:rsid w:val="00D66F60"/>
    <w:rsid w:val="00D67A4B"/>
    <w:rsid w:val="00D71001"/>
    <w:rsid w:val="00D71B6F"/>
    <w:rsid w:val="00D7555F"/>
    <w:rsid w:val="00D75EDD"/>
    <w:rsid w:val="00D75F2F"/>
    <w:rsid w:val="00D76809"/>
    <w:rsid w:val="00D809FC"/>
    <w:rsid w:val="00D8160C"/>
    <w:rsid w:val="00D86748"/>
    <w:rsid w:val="00D872C0"/>
    <w:rsid w:val="00D87D74"/>
    <w:rsid w:val="00D90A61"/>
    <w:rsid w:val="00D919FE"/>
    <w:rsid w:val="00D91F6F"/>
    <w:rsid w:val="00D92419"/>
    <w:rsid w:val="00D9585D"/>
    <w:rsid w:val="00DA50DA"/>
    <w:rsid w:val="00DA5348"/>
    <w:rsid w:val="00DA6613"/>
    <w:rsid w:val="00DA7590"/>
    <w:rsid w:val="00DA7A19"/>
    <w:rsid w:val="00DB00FB"/>
    <w:rsid w:val="00DB0A91"/>
    <w:rsid w:val="00DB1C73"/>
    <w:rsid w:val="00DB2187"/>
    <w:rsid w:val="00DB548F"/>
    <w:rsid w:val="00DC0945"/>
    <w:rsid w:val="00DC2DBC"/>
    <w:rsid w:val="00DC686E"/>
    <w:rsid w:val="00DD0B83"/>
    <w:rsid w:val="00DD280A"/>
    <w:rsid w:val="00DD549C"/>
    <w:rsid w:val="00DD6988"/>
    <w:rsid w:val="00DE1D78"/>
    <w:rsid w:val="00DE1D7A"/>
    <w:rsid w:val="00DE26C8"/>
    <w:rsid w:val="00DE5241"/>
    <w:rsid w:val="00DE56CC"/>
    <w:rsid w:val="00DE57C7"/>
    <w:rsid w:val="00DF0D6E"/>
    <w:rsid w:val="00DF2F66"/>
    <w:rsid w:val="00DF4448"/>
    <w:rsid w:val="00DF6091"/>
    <w:rsid w:val="00DF73AC"/>
    <w:rsid w:val="00E05C10"/>
    <w:rsid w:val="00E07A0F"/>
    <w:rsid w:val="00E1015A"/>
    <w:rsid w:val="00E1110A"/>
    <w:rsid w:val="00E11235"/>
    <w:rsid w:val="00E1245D"/>
    <w:rsid w:val="00E12E19"/>
    <w:rsid w:val="00E13165"/>
    <w:rsid w:val="00E153C2"/>
    <w:rsid w:val="00E15BDA"/>
    <w:rsid w:val="00E16D10"/>
    <w:rsid w:val="00E16E7D"/>
    <w:rsid w:val="00E22E69"/>
    <w:rsid w:val="00E26BD4"/>
    <w:rsid w:val="00E27C48"/>
    <w:rsid w:val="00E27C4C"/>
    <w:rsid w:val="00E30BEA"/>
    <w:rsid w:val="00E3108A"/>
    <w:rsid w:val="00E318F4"/>
    <w:rsid w:val="00E330EA"/>
    <w:rsid w:val="00E37727"/>
    <w:rsid w:val="00E403FE"/>
    <w:rsid w:val="00E40766"/>
    <w:rsid w:val="00E41BDF"/>
    <w:rsid w:val="00E43D0C"/>
    <w:rsid w:val="00E44DD7"/>
    <w:rsid w:val="00E45E65"/>
    <w:rsid w:val="00E4660B"/>
    <w:rsid w:val="00E50BA9"/>
    <w:rsid w:val="00E539AE"/>
    <w:rsid w:val="00E56224"/>
    <w:rsid w:val="00E61C42"/>
    <w:rsid w:val="00E62C93"/>
    <w:rsid w:val="00E64798"/>
    <w:rsid w:val="00E64AEE"/>
    <w:rsid w:val="00E652B1"/>
    <w:rsid w:val="00E663EC"/>
    <w:rsid w:val="00E66D0B"/>
    <w:rsid w:val="00E6769A"/>
    <w:rsid w:val="00E75B6F"/>
    <w:rsid w:val="00E766A3"/>
    <w:rsid w:val="00E8025F"/>
    <w:rsid w:val="00E81554"/>
    <w:rsid w:val="00E81C76"/>
    <w:rsid w:val="00E81DA5"/>
    <w:rsid w:val="00E81F95"/>
    <w:rsid w:val="00E836B0"/>
    <w:rsid w:val="00E855B4"/>
    <w:rsid w:val="00E8565F"/>
    <w:rsid w:val="00E8716D"/>
    <w:rsid w:val="00E8731A"/>
    <w:rsid w:val="00E87461"/>
    <w:rsid w:val="00E912AB"/>
    <w:rsid w:val="00E92B02"/>
    <w:rsid w:val="00E9388E"/>
    <w:rsid w:val="00E94B86"/>
    <w:rsid w:val="00E9547E"/>
    <w:rsid w:val="00EA04D2"/>
    <w:rsid w:val="00EA0879"/>
    <w:rsid w:val="00EA3FC7"/>
    <w:rsid w:val="00EB2047"/>
    <w:rsid w:val="00EB349B"/>
    <w:rsid w:val="00EB51DE"/>
    <w:rsid w:val="00EB5F41"/>
    <w:rsid w:val="00EB7589"/>
    <w:rsid w:val="00EB77AE"/>
    <w:rsid w:val="00EB7F3C"/>
    <w:rsid w:val="00EC0205"/>
    <w:rsid w:val="00EC1BF0"/>
    <w:rsid w:val="00EC1DE1"/>
    <w:rsid w:val="00EC38FE"/>
    <w:rsid w:val="00EC55FF"/>
    <w:rsid w:val="00EC56ED"/>
    <w:rsid w:val="00EC5D76"/>
    <w:rsid w:val="00EC68CC"/>
    <w:rsid w:val="00ED0E2A"/>
    <w:rsid w:val="00ED1591"/>
    <w:rsid w:val="00ED67D0"/>
    <w:rsid w:val="00ED7DE0"/>
    <w:rsid w:val="00EE0BD3"/>
    <w:rsid w:val="00EF0C8E"/>
    <w:rsid w:val="00EF0E9A"/>
    <w:rsid w:val="00EF2507"/>
    <w:rsid w:val="00EF25B8"/>
    <w:rsid w:val="00EF3497"/>
    <w:rsid w:val="00EF3A50"/>
    <w:rsid w:val="00EF3D3D"/>
    <w:rsid w:val="00F00051"/>
    <w:rsid w:val="00F00059"/>
    <w:rsid w:val="00F00B32"/>
    <w:rsid w:val="00F0281C"/>
    <w:rsid w:val="00F04F6D"/>
    <w:rsid w:val="00F06327"/>
    <w:rsid w:val="00F06D2F"/>
    <w:rsid w:val="00F070B9"/>
    <w:rsid w:val="00F11055"/>
    <w:rsid w:val="00F140C7"/>
    <w:rsid w:val="00F15B29"/>
    <w:rsid w:val="00F16A03"/>
    <w:rsid w:val="00F212F9"/>
    <w:rsid w:val="00F21C4B"/>
    <w:rsid w:val="00F22026"/>
    <w:rsid w:val="00F22494"/>
    <w:rsid w:val="00F24857"/>
    <w:rsid w:val="00F30DE3"/>
    <w:rsid w:val="00F32718"/>
    <w:rsid w:val="00F32C3C"/>
    <w:rsid w:val="00F34021"/>
    <w:rsid w:val="00F34FE5"/>
    <w:rsid w:val="00F3555B"/>
    <w:rsid w:val="00F35D67"/>
    <w:rsid w:val="00F427A2"/>
    <w:rsid w:val="00F438B1"/>
    <w:rsid w:val="00F44FED"/>
    <w:rsid w:val="00F5096B"/>
    <w:rsid w:val="00F50D56"/>
    <w:rsid w:val="00F50F9C"/>
    <w:rsid w:val="00F515DE"/>
    <w:rsid w:val="00F543D2"/>
    <w:rsid w:val="00F555EA"/>
    <w:rsid w:val="00F56260"/>
    <w:rsid w:val="00F70155"/>
    <w:rsid w:val="00F70E0D"/>
    <w:rsid w:val="00F76F17"/>
    <w:rsid w:val="00F83826"/>
    <w:rsid w:val="00F844DB"/>
    <w:rsid w:val="00F861FB"/>
    <w:rsid w:val="00F906BC"/>
    <w:rsid w:val="00F91DFC"/>
    <w:rsid w:val="00F954A4"/>
    <w:rsid w:val="00F95F5E"/>
    <w:rsid w:val="00F96C48"/>
    <w:rsid w:val="00F9708D"/>
    <w:rsid w:val="00FA024C"/>
    <w:rsid w:val="00FA2701"/>
    <w:rsid w:val="00FA3747"/>
    <w:rsid w:val="00FA5A16"/>
    <w:rsid w:val="00FB10E3"/>
    <w:rsid w:val="00FB1765"/>
    <w:rsid w:val="00FB2093"/>
    <w:rsid w:val="00FB3865"/>
    <w:rsid w:val="00FB46A7"/>
    <w:rsid w:val="00FB5076"/>
    <w:rsid w:val="00FB571A"/>
    <w:rsid w:val="00FB67D3"/>
    <w:rsid w:val="00FB79E0"/>
    <w:rsid w:val="00FC3CA8"/>
    <w:rsid w:val="00FC5729"/>
    <w:rsid w:val="00FC7075"/>
    <w:rsid w:val="00FD2924"/>
    <w:rsid w:val="00FD2E57"/>
    <w:rsid w:val="00FD3682"/>
    <w:rsid w:val="00FD45F1"/>
    <w:rsid w:val="00FD5015"/>
    <w:rsid w:val="00FD508A"/>
    <w:rsid w:val="00FD6060"/>
    <w:rsid w:val="00FD73CE"/>
    <w:rsid w:val="00FE3ACF"/>
    <w:rsid w:val="00FE549D"/>
    <w:rsid w:val="00FE6365"/>
    <w:rsid w:val="00FF20D4"/>
    <w:rsid w:val="00FF43D4"/>
    <w:rsid w:val="00FF5623"/>
    <w:rsid w:val="00FF5D98"/>
    <w:rsid w:val="00FF7607"/>
    <w:rsid w:val="00FF7AA0"/>
    <w:rsid w:val="1B9B6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4E13CB"/>
  <w15:docId w15:val="{C69A4C2F-0915-4D0F-AED9-E8ABD73B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locked="1" w:uiPriority="9" w:unhideWhenUsed="1" w:qFormat="1"/>
    <w:lsdException w:name="heading 3" w:uiPriority="9" w:qFormat="1"/>
    <w:lsdException w:name="heading 4" w:locked="1" w:uiPriority="0" w:unhideWhenUsed="1" w:qFormat="1"/>
    <w:lsdException w:name="heading 5" w:locked="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uiPriority="0" w:qFormat="1"/>
    <w:lsdException w:name="header" w:semiHidden="1" w:qFormat="1"/>
    <w:lsdException w:name="footer" w:qFormat="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locked="1" w:uiPriority="0"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61A2"/>
    <w:pPr>
      <w:adjustRightInd w:val="0"/>
      <w:snapToGrid w:val="0"/>
      <w:spacing w:line="360" w:lineRule="auto"/>
      <w:ind w:firstLineChars="200" w:firstLine="200"/>
    </w:pPr>
    <w:rPr>
      <w:rFonts w:ascii="Tahoma" w:hAnsi="Tahoma"/>
      <w:sz w:val="24"/>
      <w:szCs w:val="22"/>
    </w:rPr>
  </w:style>
  <w:style w:type="paragraph" w:styleId="1">
    <w:name w:val="heading 1"/>
    <w:basedOn w:val="a"/>
    <w:next w:val="a"/>
    <w:link w:val="10"/>
    <w:uiPriority w:val="99"/>
    <w:qFormat/>
    <w:rsid w:val="000461A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locked/>
    <w:rsid w:val="00220066"/>
    <w:pPr>
      <w:keepNext/>
      <w:keepLines/>
      <w:widowControl w:val="0"/>
      <w:numPr>
        <w:numId w:val="1"/>
      </w:numPr>
      <w:adjustRightInd/>
      <w:snapToGrid/>
      <w:spacing w:before="260" w:after="260" w:line="415" w:lineRule="auto"/>
      <w:ind w:firstLineChars="0" w:firstLine="0"/>
      <w:jc w:val="both"/>
      <w:outlineLvl w:val="1"/>
    </w:pPr>
    <w:rPr>
      <w:rFonts w:ascii="Cambria" w:hAnsi="Cambria"/>
      <w:b/>
      <w:bCs/>
      <w:kern w:val="2"/>
      <w:sz w:val="32"/>
      <w:szCs w:val="32"/>
    </w:rPr>
  </w:style>
  <w:style w:type="paragraph" w:styleId="3">
    <w:name w:val="heading 3"/>
    <w:basedOn w:val="a"/>
    <w:next w:val="a"/>
    <w:link w:val="30"/>
    <w:uiPriority w:val="9"/>
    <w:qFormat/>
    <w:rsid w:val="00220066"/>
    <w:pPr>
      <w:numPr>
        <w:ilvl w:val="1"/>
        <w:numId w:val="1"/>
      </w:numPr>
      <w:adjustRightInd/>
      <w:snapToGrid/>
      <w:spacing w:before="100" w:beforeAutospacing="1" w:after="100" w:afterAutospacing="1"/>
      <w:ind w:firstLineChars="0" w:firstLine="0"/>
      <w:outlineLvl w:val="2"/>
    </w:pPr>
    <w:rPr>
      <w:rFonts w:ascii="宋体" w:hAnsi="宋体" w:cs="宋体"/>
      <w:b/>
      <w:bCs/>
      <w:sz w:val="30"/>
      <w:szCs w:val="27"/>
    </w:rPr>
  </w:style>
  <w:style w:type="paragraph" w:styleId="4">
    <w:name w:val="heading 4"/>
    <w:basedOn w:val="a"/>
    <w:next w:val="a"/>
    <w:link w:val="40"/>
    <w:unhideWhenUsed/>
    <w:qFormat/>
    <w:locked/>
    <w:rsid w:val="0035249F"/>
    <w:pPr>
      <w:keepNext/>
      <w:keepLines/>
      <w:numPr>
        <w:ilvl w:val="2"/>
        <w:numId w:val="1"/>
      </w:numPr>
      <w:spacing w:before="100" w:beforeAutospacing="1" w:after="100" w:afterAutospacing="1"/>
      <w:ind w:left="0" w:firstLine="562"/>
      <w:outlineLvl w:val="3"/>
    </w:pPr>
    <w:rPr>
      <w:rFonts w:ascii="Cambria" w:hAnsi="Cambria"/>
      <w:b/>
      <w:bCs/>
      <w:sz w:val="28"/>
      <w:szCs w:val="28"/>
    </w:rPr>
  </w:style>
  <w:style w:type="paragraph" w:styleId="5">
    <w:name w:val="heading 5"/>
    <w:basedOn w:val="a"/>
    <w:next w:val="a"/>
    <w:link w:val="50"/>
    <w:unhideWhenUsed/>
    <w:qFormat/>
    <w:locked/>
    <w:rsid w:val="000461A2"/>
    <w:pPr>
      <w:keepNext/>
      <w:keepLines/>
      <w:numPr>
        <w:ilvl w:val="3"/>
        <w:numId w:val="1"/>
      </w:numPr>
      <w:spacing w:before="100" w:beforeAutospacing="1" w:after="100" w:afterAutospacing="1"/>
      <w:ind w:left="0" w:firstLine="200"/>
      <w:outlineLvl w:val="4"/>
    </w:pPr>
    <w:rPr>
      <w:b/>
      <w:bCs/>
      <w:szCs w:val="28"/>
    </w:rPr>
  </w:style>
  <w:style w:type="paragraph" w:styleId="6">
    <w:name w:val="heading 6"/>
    <w:basedOn w:val="a"/>
    <w:next w:val="a"/>
    <w:link w:val="60"/>
    <w:unhideWhenUsed/>
    <w:qFormat/>
    <w:locked/>
    <w:rsid w:val="009228CD"/>
    <w:pPr>
      <w:keepNext/>
      <w:keepLines/>
      <w:spacing w:before="240" w:after="64" w:line="320" w:lineRule="auto"/>
      <w:outlineLvl w:val="5"/>
    </w:pPr>
    <w:rPr>
      <w:rFonts w:asciiTheme="majorHAnsi" w:eastAsiaTheme="majorEastAsia" w:hAnsiTheme="majorHAnsi" w:cstheme="majorBidi"/>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locked/>
    <w:rsid w:val="000461A2"/>
    <w:pPr>
      <w:spacing w:after="200" w:line="240" w:lineRule="auto"/>
      <w:ind w:firstLineChars="0" w:firstLine="0"/>
    </w:pPr>
    <w:rPr>
      <w:rFonts w:asciiTheme="majorHAnsi" w:eastAsia="黑体" w:hAnsiTheme="majorHAnsi" w:cstheme="majorBidi"/>
      <w:sz w:val="20"/>
      <w:szCs w:val="20"/>
    </w:rPr>
  </w:style>
  <w:style w:type="paragraph" w:styleId="a4">
    <w:name w:val="Document Map"/>
    <w:basedOn w:val="a"/>
    <w:link w:val="a5"/>
    <w:uiPriority w:val="99"/>
    <w:semiHidden/>
    <w:rsid w:val="000461A2"/>
    <w:rPr>
      <w:rFonts w:ascii="宋体"/>
      <w:sz w:val="18"/>
      <w:szCs w:val="18"/>
    </w:rPr>
  </w:style>
  <w:style w:type="paragraph" w:styleId="a6">
    <w:name w:val="annotation text"/>
    <w:basedOn w:val="a"/>
    <w:link w:val="a7"/>
    <w:qFormat/>
    <w:rsid w:val="000461A2"/>
    <w:pPr>
      <w:spacing w:after="200" w:line="240" w:lineRule="auto"/>
      <w:ind w:firstLineChars="0" w:firstLine="0"/>
    </w:pPr>
    <w:rPr>
      <w:rFonts w:eastAsia="微软雅黑"/>
      <w:sz w:val="22"/>
    </w:rPr>
  </w:style>
  <w:style w:type="paragraph" w:styleId="TOC3">
    <w:name w:val="toc 3"/>
    <w:basedOn w:val="a"/>
    <w:next w:val="a"/>
    <w:uiPriority w:val="39"/>
    <w:locked/>
    <w:rsid w:val="000461A2"/>
    <w:pPr>
      <w:ind w:leftChars="400" w:left="840"/>
    </w:pPr>
  </w:style>
  <w:style w:type="paragraph" w:styleId="a8">
    <w:name w:val="Balloon Text"/>
    <w:basedOn w:val="a"/>
    <w:link w:val="a9"/>
    <w:uiPriority w:val="99"/>
    <w:semiHidden/>
    <w:rsid w:val="000461A2"/>
    <w:rPr>
      <w:sz w:val="18"/>
      <w:szCs w:val="18"/>
    </w:rPr>
  </w:style>
  <w:style w:type="paragraph" w:styleId="aa">
    <w:name w:val="footer"/>
    <w:basedOn w:val="a"/>
    <w:link w:val="ab"/>
    <w:uiPriority w:val="99"/>
    <w:qFormat/>
    <w:rsid w:val="000461A2"/>
    <w:pPr>
      <w:tabs>
        <w:tab w:val="center" w:pos="4153"/>
        <w:tab w:val="right" w:pos="8306"/>
      </w:tabs>
    </w:pPr>
    <w:rPr>
      <w:sz w:val="18"/>
      <w:szCs w:val="18"/>
    </w:rPr>
  </w:style>
  <w:style w:type="paragraph" w:styleId="ac">
    <w:name w:val="header"/>
    <w:basedOn w:val="a"/>
    <w:link w:val="ad"/>
    <w:uiPriority w:val="99"/>
    <w:semiHidden/>
    <w:qFormat/>
    <w:rsid w:val="000461A2"/>
    <w:pPr>
      <w:pBdr>
        <w:bottom w:val="single" w:sz="6" w:space="1" w:color="auto"/>
      </w:pBdr>
      <w:tabs>
        <w:tab w:val="center" w:pos="4153"/>
        <w:tab w:val="right" w:pos="8306"/>
      </w:tabs>
      <w:jc w:val="center"/>
    </w:pPr>
    <w:rPr>
      <w:sz w:val="18"/>
      <w:szCs w:val="18"/>
    </w:rPr>
  </w:style>
  <w:style w:type="paragraph" w:styleId="TOC1">
    <w:name w:val="toc 1"/>
    <w:basedOn w:val="a"/>
    <w:next w:val="a"/>
    <w:uiPriority w:val="39"/>
    <w:locked/>
    <w:rsid w:val="000461A2"/>
  </w:style>
  <w:style w:type="paragraph" w:styleId="TOC4">
    <w:name w:val="toc 4"/>
    <w:basedOn w:val="a"/>
    <w:next w:val="a"/>
    <w:uiPriority w:val="39"/>
    <w:locked/>
    <w:rsid w:val="000461A2"/>
    <w:pPr>
      <w:ind w:leftChars="600" w:left="1260"/>
    </w:pPr>
  </w:style>
  <w:style w:type="paragraph" w:styleId="TOC2">
    <w:name w:val="toc 2"/>
    <w:basedOn w:val="a"/>
    <w:next w:val="a"/>
    <w:uiPriority w:val="39"/>
    <w:locked/>
    <w:rsid w:val="000461A2"/>
    <w:pPr>
      <w:ind w:leftChars="200" w:left="420"/>
    </w:pPr>
  </w:style>
  <w:style w:type="paragraph" w:styleId="ae">
    <w:name w:val="Normal (Web)"/>
    <w:basedOn w:val="a"/>
    <w:uiPriority w:val="99"/>
    <w:unhideWhenUsed/>
    <w:qFormat/>
    <w:rsid w:val="000461A2"/>
    <w:pPr>
      <w:spacing w:beforeAutospacing="1" w:afterAutospacing="1" w:line="330" w:lineRule="atLeast"/>
      <w:ind w:firstLineChars="0" w:firstLine="0"/>
    </w:pPr>
    <w:rPr>
      <w:rFonts w:ascii="宋体" w:eastAsia="微软雅黑" w:hAnsi="宋体"/>
      <w:sz w:val="22"/>
    </w:rPr>
  </w:style>
  <w:style w:type="paragraph" w:styleId="af">
    <w:name w:val="Title"/>
    <w:basedOn w:val="a"/>
    <w:next w:val="a"/>
    <w:link w:val="af0"/>
    <w:qFormat/>
    <w:locked/>
    <w:rsid w:val="000461A2"/>
    <w:pPr>
      <w:spacing w:before="240" w:after="60"/>
      <w:jc w:val="center"/>
      <w:outlineLvl w:val="0"/>
    </w:pPr>
    <w:rPr>
      <w:rFonts w:asciiTheme="majorHAnsi" w:eastAsiaTheme="majorEastAsia" w:hAnsiTheme="majorHAnsi" w:cstheme="majorBidi"/>
      <w:b/>
      <w:bCs/>
      <w:sz w:val="32"/>
      <w:szCs w:val="32"/>
    </w:rPr>
  </w:style>
  <w:style w:type="table" w:styleId="af1">
    <w:name w:val="Table Grid"/>
    <w:basedOn w:val="a1"/>
    <w:qFormat/>
    <w:rsid w:val="00046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qFormat/>
    <w:locked/>
    <w:rsid w:val="000461A2"/>
    <w:rPr>
      <w:b/>
    </w:rPr>
  </w:style>
  <w:style w:type="character" w:styleId="af3">
    <w:name w:val="Emphasis"/>
    <w:basedOn w:val="a0"/>
    <w:uiPriority w:val="20"/>
    <w:qFormat/>
    <w:rsid w:val="000461A2"/>
    <w:rPr>
      <w:rFonts w:cs="Times New Roman"/>
      <w:i/>
      <w:iCs/>
    </w:rPr>
  </w:style>
  <w:style w:type="character" w:styleId="af4">
    <w:name w:val="Hyperlink"/>
    <w:basedOn w:val="a0"/>
    <w:uiPriority w:val="99"/>
    <w:rsid w:val="000461A2"/>
    <w:rPr>
      <w:rFonts w:cs="Times New Roman"/>
      <w:color w:val="0000FF"/>
      <w:u w:val="single"/>
    </w:rPr>
  </w:style>
  <w:style w:type="character" w:customStyle="1" w:styleId="10">
    <w:name w:val="标题 1 字符"/>
    <w:basedOn w:val="a0"/>
    <w:link w:val="1"/>
    <w:uiPriority w:val="99"/>
    <w:locked/>
    <w:rsid w:val="000461A2"/>
    <w:rPr>
      <w:rFonts w:ascii="Tahoma" w:hAnsi="Tahoma" w:cs="Times New Roman"/>
      <w:b/>
      <w:bCs/>
      <w:kern w:val="44"/>
      <w:sz w:val="44"/>
      <w:szCs w:val="44"/>
    </w:rPr>
  </w:style>
  <w:style w:type="character" w:customStyle="1" w:styleId="20">
    <w:name w:val="标题 2 字符"/>
    <w:basedOn w:val="a0"/>
    <w:link w:val="2"/>
    <w:uiPriority w:val="9"/>
    <w:rsid w:val="00220066"/>
    <w:rPr>
      <w:rFonts w:ascii="Cambria" w:hAnsi="Cambria"/>
      <w:b/>
      <w:bCs/>
      <w:kern w:val="2"/>
      <w:sz w:val="32"/>
      <w:szCs w:val="32"/>
    </w:rPr>
  </w:style>
  <w:style w:type="character" w:customStyle="1" w:styleId="30">
    <w:name w:val="标题 3 字符"/>
    <w:basedOn w:val="a0"/>
    <w:link w:val="3"/>
    <w:uiPriority w:val="9"/>
    <w:locked/>
    <w:rsid w:val="00220066"/>
    <w:rPr>
      <w:rFonts w:ascii="宋体" w:hAnsi="宋体" w:cs="宋体"/>
      <w:b/>
      <w:bCs/>
      <w:sz w:val="30"/>
      <w:szCs w:val="27"/>
    </w:rPr>
  </w:style>
  <w:style w:type="character" w:customStyle="1" w:styleId="40">
    <w:name w:val="标题 4 字符"/>
    <w:basedOn w:val="a0"/>
    <w:link w:val="4"/>
    <w:qFormat/>
    <w:rsid w:val="0035249F"/>
    <w:rPr>
      <w:rFonts w:ascii="Cambria" w:hAnsi="Cambria"/>
      <w:b/>
      <w:bCs/>
      <w:sz w:val="28"/>
      <w:szCs w:val="28"/>
    </w:rPr>
  </w:style>
  <w:style w:type="character" w:customStyle="1" w:styleId="50">
    <w:name w:val="标题 5 字符"/>
    <w:basedOn w:val="a0"/>
    <w:link w:val="5"/>
    <w:qFormat/>
    <w:rsid w:val="000461A2"/>
    <w:rPr>
      <w:rFonts w:ascii="Tahoma" w:hAnsi="Tahoma"/>
      <w:b/>
      <w:bCs/>
      <w:sz w:val="24"/>
      <w:szCs w:val="28"/>
    </w:rPr>
  </w:style>
  <w:style w:type="character" w:customStyle="1" w:styleId="ad">
    <w:name w:val="页眉 字符"/>
    <w:basedOn w:val="a0"/>
    <w:link w:val="ac"/>
    <w:uiPriority w:val="99"/>
    <w:semiHidden/>
    <w:locked/>
    <w:rsid w:val="000461A2"/>
    <w:rPr>
      <w:rFonts w:ascii="Tahoma" w:hAnsi="Tahoma" w:cs="Times New Roman"/>
      <w:sz w:val="18"/>
      <w:szCs w:val="18"/>
    </w:rPr>
  </w:style>
  <w:style w:type="character" w:customStyle="1" w:styleId="ab">
    <w:name w:val="页脚 字符"/>
    <w:basedOn w:val="a0"/>
    <w:link w:val="aa"/>
    <w:uiPriority w:val="99"/>
    <w:locked/>
    <w:rsid w:val="000461A2"/>
    <w:rPr>
      <w:rFonts w:ascii="Tahoma" w:hAnsi="Tahoma" w:cs="Times New Roman"/>
      <w:sz w:val="18"/>
      <w:szCs w:val="18"/>
    </w:rPr>
  </w:style>
  <w:style w:type="character" w:customStyle="1" w:styleId="a9">
    <w:name w:val="批注框文本 字符"/>
    <w:basedOn w:val="a0"/>
    <w:link w:val="a8"/>
    <w:uiPriority w:val="99"/>
    <w:semiHidden/>
    <w:locked/>
    <w:rsid w:val="000461A2"/>
    <w:rPr>
      <w:rFonts w:ascii="Tahoma" w:hAnsi="Tahoma" w:cs="Times New Roman"/>
      <w:sz w:val="18"/>
      <w:szCs w:val="18"/>
    </w:rPr>
  </w:style>
  <w:style w:type="character" w:customStyle="1" w:styleId="a5">
    <w:name w:val="文档结构图 字符"/>
    <w:basedOn w:val="a0"/>
    <w:link w:val="a4"/>
    <w:uiPriority w:val="99"/>
    <w:semiHidden/>
    <w:locked/>
    <w:rsid w:val="000461A2"/>
    <w:rPr>
      <w:rFonts w:ascii="宋体" w:eastAsia="宋体" w:hAnsi="Tahoma" w:cs="Times New Roman"/>
      <w:sz w:val="18"/>
      <w:szCs w:val="18"/>
    </w:rPr>
  </w:style>
  <w:style w:type="character" w:customStyle="1" w:styleId="doctitle">
    <w:name w:val="doc_title"/>
    <w:basedOn w:val="a0"/>
    <w:uiPriority w:val="99"/>
    <w:rsid w:val="000461A2"/>
    <w:rPr>
      <w:rFonts w:cs="Times New Roman"/>
    </w:rPr>
  </w:style>
  <w:style w:type="character" w:customStyle="1" w:styleId="apple-converted-space">
    <w:name w:val="apple-converted-space"/>
    <w:basedOn w:val="a0"/>
    <w:uiPriority w:val="99"/>
    <w:rsid w:val="000461A2"/>
    <w:rPr>
      <w:rFonts w:cs="Times New Roman"/>
    </w:rPr>
  </w:style>
  <w:style w:type="paragraph" w:styleId="af5">
    <w:name w:val="List Paragraph"/>
    <w:basedOn w:val="a"/>
    <w:uiPriority w:val="34"/>
    <w:qFormat/>
    <w:rsid w:val="000461A2"/>
    <w:pPr>
      <w:ind w:firstLine="420"/>
    </w:pPr>
  </w:style>
  <w:style w:type="character" w:customStyle="1" w:styleId="af0">
    <w:name w:val="标题 字符"/>
    <w:basedOn w:val="a0"/>
    <w:link w:val="af"/>
    <w:rsid w:val="000461A2"/>
    <w:rPr>
      <w:rFonts w:asciiTheme="majorHAnsi" w:eastAsiaTheme="majorEastAsia" w:hAnsiTheme="majorHAnsi" w:cstheme="majorBidi"/>
      <w:b/>
      <w:bCs/>
      <w:sz w:val="32"/>
      <w:szCs w:val="32"/>
    </w:rPr>
  </w:style>
  <w:style w:type="character" w:styleId="af6">
    <w:name w:val="Placeholder Text"/>
    <w:basedOn w:val="a0"/>
    <w:uiPriority w:val="99"/>
    <w:semiHidden/>
    <w:rsid w:val="000461A2"/>
    <w:rPr>
      <w:color w:val="808080"/>
    </w:rPr>
  </w:style>
  <w:style w:type="character" w:customStyle="1" w:styleId="11">
    <w:name w:val="不明显强调1"/>
    <w:basedOn w:val="a0"/>
    <w:uiPriority w:val="19"/>
    <w:qFormat/>
    <w:rsid w:val="000461A2"/>
    <w:rPr>
      <w:i/>
      <w:iCs/>
      <w:color w:val="404040" w:themeColor="text1" w:themeTint="BF"/>
    </w:rPr>
  </w:style>
  <w:style w:type="paragraph" w:customStyle="1" w:styleId="51">
    <w:name w:val="标题5"/>
    <w:basedOn w:val="4"/>
    <w:next w:val="a"/>
    <w:qFormat/>
    <w:rsid w:val="000461A2"/>
    <w:pPr>
      <w:numPr>
        <w:ilvl w:val="0"/>
        <w:numId w:val="0"/>
      </w:numPr>
      <w:spacing w:before="260" w:beforeAutospacing="0" w:after="260" w:afterAutospacing="0"/>
    </w:pPr>
    <w:rPr>
      <w:rFonts w:ascii="Arial" w:hAnsi="Arial"/>
      <w:b w:val="0"/>
      <w:bCs w:val="0"/>
      <w:sz w:val="24"/>
      <w:szCs w:val="22"/>
    </w:rPr>
  </w:style>
  <w:style w:type="paragraph" w:customStyle="1" w:styleId="af7">
    <w:name w:val="表格名称"/>
    <w:next w:val="a"/>
    <w:qFormat/>
    <w:rsid w:val="000461A2"/>
    <w:pPr>
      <w:jc w:val="center"/>
    </w:pPr>
    <w:rPr>
      <w:sz w:val="21"/>
    </w:rPr>
  </w:style>
  <w:style w:type="table" w:customStyle="1" w:styleId="21">
    <w:name w:val="无格式表格 21"/>
    <w:basedOn w:val="a1"/>
    <w:uiPriority w:val="42"/>
    <w:rsid w:val="000461A2"/>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OC10">
    <w:name w:val="TOC 标题1"/>
    <w:basedOn w:val="1"/>
    <w:next w:val="a"/>
    <w:uiPriority w:val="39"/>
    <w:unhideWhenUsed/>
    <w:qFormat/>
    <w:rsid w:val="000461A2"/>
    <w:pPr>
      <w:adjustRightInd/>
      <w:snapToGrid/>
      <w:spacing w:before="240" w:after="0" w:line="259" w:lineRule="auto"/>
      <w:ind w:firstLineChars="0" w:firstLine="0"/>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font11">
    <w:name w:val="font11"/>
    <w:basedOn w:val="a0"/>
    <w:qFormat/>
    <w:rsid w:val="000461A2"/>
    <w:rPr>
      <w:rFonts w:ascii="Times New Roman" w:hAnsi="Times New Roman" w:cs="Times New Roman" w:hint="default"/>
      <w:color w:val="000000"/>
      <w:sz w:val="18"/>
      <w:szCs w:val="18"/>
      <w:u w:val="none"/>
    </w:rPr>
  </w:style>
  <w:style w:type="character" w:customStyle="1" w:styleId="font21">
    <w:name w:val="font21"/>
    <w:basedOn w:val="a0"/>
    <w:rsid w:val="000461A2"/>
    <w:rPr>
      <w:rFonts w:ascii="Times New Roman" w:hAnsi="Times New Roman" w:cs="Times New Roman" w:hint="default"/>
      <w:color w:val="000000"/>
      <w:sz w:val="18"/>
      <w:szCs w:val="18"/>
      <w:u w:val="none"/>
    </w:rPr>
  </w:style>
  <w:style w:type="character" w:customStyle="1" w:styleId="a7">
    <w:name w:val="批注文字 字符"/>
    <w:basedOn w:val="a0"/>
    <w:link w:val="a6"/>
    <w:rsid w:val="000461A2"/>
    <w:rPr>
      <w:rFonts w:ascii="Tahoma" w:hAnsi="Tahoma"/>
      <w:sz w:val="22"/>
      <w:szCs w:val="22"/>
    </w:rPr>
  </w:style>
  <w:style w:type="table" w:customStyle="1" w:styleId="12">
    <w:name w:val="网格型浅色1"/>
    <w:basedOn w:val="a1"/>
    <w:uiPriority w:val="40"/>
    <w:rsid w:val="000461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60">
    <w:name w:val="标题 6 字符"/>
    <w:basedOn w:val="a0"/>
    <w:link w:val="6"/>
    <w:rsid w:val="009228CD"/>
    <w:rPr>
      <w:rFonts w:asciiTheme="majorHAnsi" w:eastAsiaTheme="majorEastAsia" w:hAnsiTheme="majorHAnsi" w:cstheme="majorBidi"/>
      <w:b/>
      <w:bCs/>
      <w:sz w:val="24"/>
      <w:szCs w:val="24"/>
    </w:rPr>
  </w:style>
  <w:style w:type="table" w:customStyle="1" w:styleId="22">
    <w:name w:val="无格式表格 22"/>
    <w:basedOn w:val="a1"/>
    <w:uiPriority w:val="42"/>
    <w:rsid w:val="00CE0C8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C04E1F"/>
    <w:pPr>
      <w:widowControl w:val="0"/>
      <w:autoSpaceDE w:val="0"/>
      <w:autoSpaceDN w:val="0"/>
      <w:adjustRightInd w:val="0"/>
    </w:pPr>
    <w:rPr>
      <w:rFonts w:ascii="FangSong" w:hAnsi="FangSong" w:cs="FangSong"/>
      <w:color w:val="000000"/>
      <w:sz w:val="24"/>
      <w:szCs w:val="24"/>
    </w:rPr>
  </w:style>
  <w:style w:type="paragraph" w:styleId="TOC">
    <w:name w:val="TOC Heading"/>
    <w:basedOn w:val="1"/>
    <w:next w:val="a"/>
    <w:uiPriority w:val="39"/>
    <w:unhideWhenUsed/>
    <w:qFormat/>
    <w:rsid w:val="008E63BB"/>
    <w:pPr>
      <w:adjustRightInd/>
      <w:snapToGrid/>
      <w:spacing w:before="240" w:after="0" w:line="259" w:lineRule="auto"/>
      <w:ind w:firstLineChars="0" w:firstLine="0"/>
      <w:outlineLvl w:val="9"/>
    </w:pPr>
    <w:rPr>
      <w:rFonts w:asciiTheme="majorHAnsi" w:eastAsiaTheme="majorEastAsia" w:hAnsiTheme="majorHAnsi" w:cstheme="majorBidi"/>
      <w:b w:val="0"/>
      <w:bCs w:val="0"/>
      <w:color w:val="365F91" w:themeColor="accent1" w:themeShade="BF"/>
      <w:kern w:val="0"/>
      <w:sz w:val="32"/>
      <w:szCs w:val="32"/>
    </w:rPr>
  </w:style>
  <w:style w:type="paragraph" w:styleId="af8">
    <w:name w:val="Date"/>
    <w:basedOn w:val="a"/>
    <w:next w:val="a"/>
    <w:link w:val="af9"/>
    <w:uiPriority w:val="99"/>
    <w:semiHidden/>
    <w:unhideWhenUsed/>
    <w:rsid w:val="00A41261"/>
    <w:pPr>
      <w:ind w:leftChars="2500" w:left="100"/>
    </w:pPr>
  </w:style>
  <w:style w:type="character" w:customStyle="1" w:styleId="af9">
    <w:name w:val="日期 字符"/>
    <w:basedOn w:val="a0"/>
    <w:link w:val="af8"/>
    <w:uiPriority w:val="99"/>
    <w:semiHidden/>
    <w:rsid w:val="00A41261"/>
    <w:rPr>
      <w:rFonts w:ascii="Tahoma" w:hAnsi="Tahoma"/>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835251">
      <w:bodyDiv w:val="1"/>
      <w:marLeft w:val="0"/>
      <w:marRight w:val="0"/>
      <w:marTop w:val="0"/>
      <w:marBottom w:val="0"/>
      <w:divBdr>
        <w:top w:val="none" w:sz="0" w:space="0" w:color="auto"/>
        <w:left w:val="none" w:sz="0" w:space="0" w:color="auto"/>
        <w:bottom w:val="none" w:sz="0" w:space="0" w:color="auto"/>
        <w:right w:val="none" w:sz="0" w:space="0" w:color="auto"/>
      </w:divBdr>
    </w:div>
    <w:div w:id="375813780">
      <w:bodyDiv w:val="1"/>
      <w:marLeft w:val="0"/>
      <w:marRight w:val="0"/>
      <w:marTop w:val="0"/>
      <w:marBottom w:val="0"/>
      <w:divBdr>
        <w:top w:val="none" w:sz="0" w:space="0" w:color="auto"/>
        <w:left w:val="none" w:sz="0" w:space="0" w:color="auto"/>
        <w:bottom w:val="none" w:sz="0" w:space="0" w:color="auto"/>
        <w:right w:val="none" w:sz="0" w:space="0" w:color="auto"/>
      </w:divBdr>
    </w:div>
    <w:div w:id="432866499">
      <w:bodyDiv w:val="1"/>
      <w:marLeft w:val="0"/>
      <w:marRight w:val="0"/>
      <w:marTop w:val="0"/>
      <w:marBottom w:val="0"/>
      <w:divBdr>
        <w:top w:val="none" w:sz="0" w:space="0" w:color="auto"/>
        <w:left w:val="none" w:sz="0" w:space="0" w:color="auto"/>
        <w:bottom w:val="none" w:sz="0" w:space="0" w:color="auto"/>
        <w:right w:val="none" w:sz="0" w:space="0" w:color="auto"/>
      </w:divBdr>
    </w:div>
    <w:div w:id="501625722">
      <w:bodyDiv w:val="1"/>
      <w:marLeft w:val="0"/>
      <w:marRight w:val="0"/>
      <w:marTop w:val="0"/>
      <w:marBottom w:val="0"/>
      <w:divBdr>
        <w:top w:val="none" w:sz="0" w:space="0" w:color="auto"/>
        <w:left w:val="none" w:sz="0" w:space="0" w:color="auto"/>
        <w:bottom w:val="none" w:sz="0" w:space="0" w:color="auto"/>
        <w:right w:val="none" w:sz="0" w:space="0" w:color="auto"/>
      </w:divBdr>
    </w:div>
    <w:div w:id="737090670">
      <w:bodyDiv w:val="1"/>
      <w:marLeft w:val="0"/>
      <w:marRight w:val="0"/>
      <w:marTop w:val="0"/>
      <w:marBottom w:val="0"/>
      <w:divBdr>
        <w:top w:val="none" w:sz="0" w:space="0" w:color="auto"/>
        <w:left w:val="none" w:sz="0" w:space="0" w:color="auto"/>
        <w:bottom w:val="none" w:sz="0" w:space="0" w:color="auto"/>
        <w:right w:val="none" w:sz="0" w:space="0" w:color="auto"/>
      </w:divBdr>
    </w:div>
    <w:div w:id="1200775479">
      <w:bodyDiv w:val="1"/>
      <w:marLeft w:val="0"/>
      <w:marRight w:val="0"/>
      <w:marTop w:val="0"/>
      <w:marBottom w:val="0"/>
      <w:divBdr>
        <w:top w:val="none" w:sz="0" w:space="0" w:color="auto"/>
        <w:left w:val="none" w:sz="0" w:space="0" w:color="auto"/>
        <w:bottom w:val="none" w:sz="0" w:space="0" w:color="auto"/>
        <w:right w:val="none" w:sz="0" w:space="0" w:color="auto"/>
      </w:divBdr>
    </w:div>
    <w:div w:id="1462378167">
      <w:bodyDiv w:val="1"/>
      <w:marLeft w:val="0"/>
      <w:marRight w:val="0"/>
      <w:marTop w:val="0"/>
      <w:marBottom w:val="0"/>
      <w:divBdr>
        <w:top w:val="none" w:sz="0" w:space="0" w:color="auto"/>
        <w:left w:val="none" w:sz="0" w:space="0" w:color="auto"/>
        <w:bottom w:val="none" w:sz="0" w:space="0" w:color="auto"/>
        <w:right w:val="none" w:sz="0" w:space="0" w:color="auto"/>
      </w:divBdr>
    </w:div>
    <w:div w:id="1849520205">
      <w:bodyDiv w:val="1"/>
      <w:marLeft w:val="0"/>
      <w:marRight w:val="0"/>
      <w:marTop w:val="0"/>
      <w:marBottom w:val="0"/>
      <w:divBdr>
        <w:top w:val="none" w:sz="0" w:space="0" w:color="auto"/>
        <w:left w:val="none" w:sz="0" w:space="0" w:color="auto"/>
        <w:bottom w:val="none" w:sz="0" w:space="0" w:color="auto"/>
        <w:right w:val="none" w:sz="0" w:space="0" w:color="auto"/>
      </w:divBdr>
    </w:div>
    <w:div w:id="1892231393">
      <w:bodyDiv w:val="1"/>
      <w:marLeft w:val="0"/>
      <w:marRight w:val="0"/>
      <w:marTop w:val="0"/>
      <w:marBottom w:val="0"/>
      <w:divBdr>
        <w:top w:val="none" w:sz="0" w:space="0" w:color="auto"/>
        <w:left w:val="none" w:sz="0" w:space="0" w:color="auto"/>
        <w:bottom w:val="none" w:sz="0" w:space="0" w:color="auto"/>
        <w:right w:val="none" w:sz="0" w:space="0" w:color="auto"/>
      </w:divBdr>
    </w:div>
    <w:div w:id="1958414551">
      <w:bodyDiv w:val="1"/>
      <w:marLeft w:val="0"/>
      <w:marRight w:val="0"/>
      <w:marTop w:val="0"/>
      <w:marBottom w:val="0"/>
      <w:divBdr>
        <w:top w:val="none" w:sz="0" w:space="0" w:color="auto"/>
        <w:left w:val="none" w:sz="0" w:space="0" w:color="auto"/>
        <w:bottom w:val="none" w:sz="0" w:space="0" w:color="auto"/>
        <w:right w:val="none" w:sz="0" w:space="0" w:color="auto"/>
      </w:divBdr>
    </w:div>
    <w:div w:id="2027053120">
      <w:bodyDiv w:val="1"/>
      <w:marLeft w:val="0"/>
      <w:marRight w:val="0"/>
      <w:marTop w:val="0"/>
      <w:marBottom w:val="0"/>
      <w:divBdr>
        <w:top w:val="none" w:sz="0" w:space="0" w:color="auto"/>
        <w:left w:val="none" w:sz="0" w:space="0" w:color="auto"/>
        <w:bottom w:val="none" w:sz="0" w:space="0" w:color="auto"/>
        <w:right w:val="none" w:sz="0" w:space="0" w:color="auto"/>
      </w:divBdr>
    </w:div>
    <w:div w:id="2069378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2.bin"/><Relationship Id="rId3" Type="http://schemas.openxmlformats.org/officeDocument/2006/relationships/numbering" Target="numbering.xml"/><Relationship Id="rId21" Type="http://schemas.openxmlformats.org/officeDocument/2006/relationships/image" Target="media/image4.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3.w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52E8E2-DC68-42D2-9D09-DE6899661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1008</Words>
  <Characters>5750</Characters>
  <Application>Microsoft Office Word</Application>
  <DocSecurity>0</DocSecurity>
  <Lines>47</Lines>
  <Paragraphs>13</Paragraphs>
  <ScaleCrop>false</ScaleCrop>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 利霞</dc:creator>
  <cp:lastModifiedBy>梁 利霞</cp:lastModifiedBy>
  <cp:revision>58</cp:revision>
  <cp:lastPrinted>2020-12-10T10:41:00Z</cp:lastPrinted>
  <dcterms:created xsi:type="dcterms:W3CDTF">2021-01-06T08:47:00Z</dcterms:created>
  <dcterms:modified xsi:type="dcterms:W3CDTF">2021-02-23T06:46:00Z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