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80"/>
        </w:tabs>
        <w:snapToGrid w:val="0"/>
        <w:spacing w:line="1320" w:lineRule="exact"/>
        <w:ind w:right="195" w:rightChars="93"/>
        <w:rPr>
          <w:rFonts w:hint="eastAsia" w:ascii="黑体" w:eastAsia="黑体"/>
          <w:sz w:val="32"/>
          <w:szCs w:val="32"/>
        </w:rPr>
      </w:pPr>
      <w:bookmarkStart w:id="0" w:name="_GoBack"/>
      <w:bookmarkEnd w:id="0"/>
      <w:r>
        <w:rPr>
          <w:rFonts w:hint="eastAsia" w:ascii="黑体" w:eastAsia="黑体"/>
          <w:sz w:val="32"/>
          <w:szCs w:val="32"/>
        </w:rPr>
        <w:t>附件：</w:t>
      </w:r>
    </w:p>
    <w:p>
      <w:pPr>
        <w:snapToGrid w:val="0"/>
        <w:spacing w:line="240" w:lineRule="exact"/>
        <w:rPr>
          <w:rFonts w:hint="eastAsia" w:ascii="小标宋" w:eastAsia="小标宋"/>
          <w:sz w:val="32"/>
          <w:szCs w:val="32"/>
        </w:rPr>
      </w:pPr>
    </w:p>
    <w:p>
      <w:pPr>
        <w:spacing w:line="336" w:lineRule="auto"/>
        <w:jc w:val="center"/>
        <w:rPr>
          <w:rFonts w:hint="eastAsia" w:ascii="方正小标宋_GBK" w:eastAsia="方正小标宋_GBK"/>
          <w:sz w:val="36"/>
          <w:szCs w:val="36"/>
        </w:rPr>
      </w:pPr>
      <w:r>
        <w:rPr>
          <w:rFonts w:hint="eastAsia" w:ascii="方正小标宋_GBK" w:eastAsia="方正小标宋_GBK"/>
          <w:sz w:val="36"/>
          <w:szCs w:val="36"/>
        </w:rPr>
        <w:t>杭州市2019年市重点预备项目前期工作计划</w:t>
      </w:r>
    </w:p>
    <w:p>
      <w:pPr>
        <w:snapToGrid w:val="0"/>
        <w:spacing w:line="240" w:lineRule="exact"/>
        <w:rPr>
          <w:rFonts w:hint="eastAsia" w:ascii="小标宋" w:eastAsia="小标宋"/>
          <w:sz w:val="32"/>
          <w:szCs w:val="32"/>
        </w:rPr>
      </w:pPr>
    </w:p>
    <w:tbl>
      <w:tblPr>
        <w:tblStyle w:val="8"/>
        <w:tblW w:w="15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6"/>
        <w:gridCol w:w="1596"/>
        <w:gridCol w:w="3882"/>
        <w:gridCol w:w="1497"/>
        <w:gridCol w:w="1738"/>
        <w:gridCol w:w="1803"/>
        <w:gridCol w:w="899"/>
        <w:gridCol w:w="1388"/>
        <w:gridCol w:w="858"/>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blHeader/>
          <w:jc w:val="center"/>
        </w:trPr>
        <w:tc>
          <w:tcPr>
            <w:tcW w:w="49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序号</w:t>
            </w:r>
          </w:p>
        </w:tc>
        <w:tc>
          <w:tcPr>
            <w:tcW w:w="159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项目名称</w:t>
            </w:r>
          </w:p>
        </w:tc>
        <w:tc>
          <w:tcPr>
            <w:tcW w:w="388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主要建设内容及规模</w:t>
            </w:r>
          </w:p>
        </w:tc>
        <w:tc>
          <w:tcPr>
            <w:tcW w:w="149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总投资（万元）</w:t>
            </w:r>
          </w:p>
        </w:tc>
        <w:tc>
          <w:tcPr>
            <w:tcW w:w="173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至2018年底前期工作进展情况</w:t>
            </w:r>
          </w:p>
        </w:tc>
        <w:tc>
          <w:tcPr>
            <w:tcW w:w="4948" w:type="dxa"/>
            <w:gridSpan w:val="4"/>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2019年前期工作计划</w:t>
            </w:r>
          </w:p>
        </w:tc>
        <w:tc>
          <w:tcPr>
            <w:tcW w:w="127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责任</w:t>
            </w:r>
            <w:r>
              <w:rPr>
                <w:rFonts w:hint="eastAsia" w:ascii="仿宋_GB2312" w:hAnsi="宋体" w:eastAsia="仿宋_GB2312" w:cs="宋体"/>
                <w:b/>
                <w:bCs/>
                <w:kern w:val="0"/>
                <w:sz w:val="18"/>
                <w:szCs w:val="18"/>
              </w:rPr>
              <w:br/>
            </w:r>
            <w:r>
              <w:rPr>
                <w:rFonts w:hint="eastAsia" w:ascii="仿宋_GB2312" w:hAnsi="宋体" w:eastAsia="仿宋_GB2312" w:cs="宋体"/>
                <w:b/>
                <w:bCs/>
                <w:kern w:val="0"/>
                <w:sz w:val="18"/>
                <w:szCs w:val="18"/>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blHeader/>
          <w:jc w:val="center"/>
        </w:trPr>
        <w:tc>
          <w:tcPr>
            <w:tcW w:w="4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left"/>
              <w:rPr>
                <w:rFonts w:hint="eastAsia" w:ascii="仿宋_GB2312" w:hAnsi="宋体" w:eastAsia="仿宋_GB2312" w:cs="宋体"/>
                <w:b/>
                <w:bCs/>
                <w:kern w:val="0"/>
                <w:sz w:val="18"/>
                <w:szCs w:val="18"/>
              </w:rPr>
            </w:pPr>
          </w:p>
        </w:tc>
        <w:tc>
          <w:tcPr>
            <w:tcW w:w="3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left"/>
              <w:rPr>
                <w:rFonts w:hint="eastAsia" w:ascii="仿宋_GB2312" w:hAnsi="宋体" w:eastAsia="仿宋_GB2312" w:cs="宋体"/>
                <w:b/>
                <w:bCs/>
                <w:kern w:val="0"/>
                <w:sz w:val="18"/>
                <w:szCs w:val="18"/>
              </w:rPr>
            </w:pPr>
          </w:p>
        </w:tc>
        <w:tc>
          <w:tcPr>
            <w:tcW w:w="1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7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一季度</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二季度</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三季度</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四季度</w:t>
            </w:r>
          </w:p>
        </w:tc>
        <w:tc>
          <w:tcPr>
            <w:tcW w:w="127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合计</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共123项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31179857</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一</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发展平台</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共3项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1450000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杭州国际商贸城项目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江干区用地约2.9平方公里，建筑面积约200万平方米。拆迁安置房建筑面积48.6万平方米。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招商中</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开展招商工作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开展招商工作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招商洽谈</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招商洽谈</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联想科技城项目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创新型产业项目，项目占地面积约74951平方米，总建筑面积约403692平方米。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做地前期</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土地收储</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土地出让，方案设计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杭州湾智慧谷（海创园）二期项目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研发基地、科技型企业总部。</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项目建议书编制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上报控规用地指标，确定政府投资项目</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选址论证及规划设计条件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设计招标及设计方案初稿</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编制可研报告</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二</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基础设施</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共16项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7597396</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之江路输水管廊及道路提升工程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建设内容包括道路工程、管线工程、管廊工程、隧道工程。道路长约6.3公里，其中隧道长5.5公里，结合城市拥江发展战略完善沿江区域道路，重点对景观环境提升。</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已列入项目前期计划，开展地形图测绘、土地测绘、选址论证、考古发掘、文物保护评估、下穿铁路设计方案咨询等工作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开展省、市文物部门对文物影响评价审批，力争上报报国家文物局审批。选址及土地预审模拟审批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取得工程可行性研究报告批复。开展招投标工作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开展工作井位置管线第一期迁改工作</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开展明挖段位置征迁谈判工作，具备进场条件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半山公交停保基地项目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建设公交营运车约1800标台的停保基地，总建筑面积约185000平方米。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122107</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控规调整</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湖州街公交中心站项目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公交中心站建设，包括始发公交线路4条，配车约24标台，总建筑面积25000平方米，地上建筑面积约15000平方米，地下建筑面积约10000平方米（含社会公共停车库30个）。</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23633</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杭州西站枢纽综合配套设施及疏解通道项目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包括地下空间开发、综合配套管理用房及重要疏解通道建设。项目总用地面积1000000平方米，总建筑面积1000000平方米。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完成项目选址意见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完成部分项目设计单位招标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完成部分项目设计方案优化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完成部分项目初步设计文本</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力争部分项目开工建设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留石快速路西延工程（绕城西线—杭州都市经济圈高速公路环线）</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留祥路西延工程横跨余杭、西湖两区，东起绕城高速三墩互通，顺接留祥路，路线向西跨越15省道后落地接入科技大道，利用现状科技大道延伸至绕城西复线余杭镇西互通结束，全长约为19.85公里，主线新建段长14.2公里，采用全线高架—隧道方案，按设计时速80公里/小时的四车道一级公路标准建设，利用段长5.65公里。地面道路采用80公里/小时的六车道城市主干道标准建设；汽车荷载等级均为公路-I级。</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461400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完成初步设计方案优化</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用地预审材料组件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进行初步设计方案深化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完成初步设计文本</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艮山东路东延线（河庄大道—头蓬快速路）及地下综合管廊工程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项目西起河庄大道，东至头蓬快速路，全长约5.039公里，规划红线宽60米，道路等级为城市快速路，全线高架并设置综合管廊，双向六车道+两侧辅道，设计时速80公里/小时。建设内容为道路及市政配套，包括道路、管廊、桥梁、管线、路灯、绿化、交通设施等。 </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394135</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完成立项、选址、土地预审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完成可研、初设</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桐乡至苍南公路杭州大江东六工段互通至党湾互通段新建工程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道路总长14.8公里,道路总宽50米，路面采用沥青砼路面结构。全线桥涵情况为桥梁609/9座。设计采用一级公路标准（兼城市快速路），设计速度为80公里/小时。</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215475</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工可批复</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桐乡至苍南公路杭州大江东红十五线至河景路段新建工程 </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目位于义蓬街道，呈南北走向，北起河景路，南至红十五线，全长约5.73公里，标准断面红线宽51.5米。主线高架段宽25.5米，道路等级为城市快速路，设计时速80公里/小时，双向六车道；地面道路等级为主干路，设计时速60公里/小时，双向六车道。道路总用地面积约709.7亩，包括道路工程、桥梁工程、艮山东路互通及互通内综合管廊工程(不含红十五线互通)、雨污水及管线综合工程、景观绿化工程、海绵城市、道路附属工程(含照明、标志标线、智能交通)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691878</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完成立项、选址、土地预审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完成可研、初设</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镇海至安吉公路江东大道至绍兴界工程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道路总长34.2公里,道路总宽60米，路面采用沥青砼路面结构。全线桥涵情况为桥梁955/9座。设计采用一级公路标准（兼城市主干路），设计速度为80公里/小时。</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立项批复</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桐乡至苍南公路大江东江东一路至河景路段新建工程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全长2.76公里。标准段红线宽度为51.5米。包括道路工程、桥梁工程、互通工程（含互通内综合管廊工程）、管廊工程、雨污水及管线综合工程、景观绿化工程、海绵城市、道路附属工程(含照明、标志标线、智能交通)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414369</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立项批复</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江东大道提升改造工程（滨江二路—河庄大道）及地下综合管廊项目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项目西起滨江二路西段，东至河庄大道以西，长2.4km，其中高架快速路长1.98km，标准红线宽53m，地面快速路段长420m，标准红线宽72m。综合管廊长度2.05km，建设内容为道路工程、桥梁工程、地下通道工程、综合管廊工程、排水及管线综合工程、机电工程、景观绿化工程及其他附属工程等。 </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136636</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完成立项、选址、土地预审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完成可研、初设</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江东大道提升改造工程（青六路东—苏绍高速）及地下综合管廊项目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西起青六路东，东至苏绍高速，长5.6公里，其中互通段长1.18公里，地面快速路段长1.44公里，标准红线宽72米及79米。地下快速路段长2.985公里，标准红线宽50米，综合管廊长度4.68公里，建设内容为道路工程、桥梁工程、地下通道工程、综合管廊工程、排水及管线综合工程、机电工程、景观绿化工程及其他附属工程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437764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完成立项、选址、土地预审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完成可研、初设</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彩虹快速路东延工程（一期）</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起点萧山东互通，终点至三环萧山东段，高架结合地面道路，长5.8公里。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设计招标文件编制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开展涉及杭绍城际线段项建书</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开展涉及杭绍城际线段工可审查</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开展涉及杭绍城际线段初步设计审查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开展涉及杭绍城际线段施工图审查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G235高架（绕城至三环段）工程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起点绕城高速义桥出口，终点至三环，高架快速路结合地面道路，长12公里。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项目技术前期阶段</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开展工可审查工作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开展初步设计审查工作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开展施工图审查工作</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开展PPP入库报批工作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义大路东伸工程（南部运输通道）</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起点义桥大桥，经塘湄线，东接张家畈互通，一级公路，长12.7公里。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完成项目建议书、工可编制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工可优化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初设编制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建德乌龙山抽水蓄能电站项目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总装机容量2400MW。</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开展可研审查</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取得“两江一湖”严东关详规批复文件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可研报告编制及审查</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取得省政府“封库令”，移民专题报告编制及审查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争取完成项目核准</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三</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产业转型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共55项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11662774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杭州市循环经济产业园报废汽车拆解项目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报废汽车拆解项目及配套设施。</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公司组建完成</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项目前期准备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工艺设备初步考察与设计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技术谈判、落实建设用地</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在用地落实的前提下，完成项目开工准备工作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市供销社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长安福特汽车有限公司林肯U540乘用车生产线项目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现有冲压车间、焊装车间、涂装车间、总装车间、样车车间及相关辅助设施进行适应性升级，新增和升级工艺设备938台套（其中，国产908台套，进口30台套），不新增建筑面积，保持工厂设计年产25万辆/年乘用车的能力不变，实现U540同CD539、D568、U611、U625等车型共线生产，U540系列乘用车生产规模为3.6万辆/年。</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86385</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完成备案审批，开始招标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完成环评</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完成前期报批</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开工前准备</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杭报集团融媒体云智造集群总部基地项目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集媒介的设计制作中心、印刷、发行出版、数字资源服务、文创孵化平台为一体的文化创意产业园，项目总用地64亩，总建筑面积51200平方米。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完成备案</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完成前期报批</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华翔汽车零部件项目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主要为长安福特、林肯、广汽乘用车提供汽车内外饰件总成等零部件。</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完成备案</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歌礼生物项目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建设高端制剂制造中心和肝炎研究中心，占地约30亩。</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完成地块出让前的各项准备工作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签订项目投资协议（调整后）</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完成项目方案设计，启动项目招拍挂</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和达药谷四期项目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新建生物医药、医疗器械研发平台、小试中试平台、初创型企业创新孵化平台与规模企业加速产业化平台。项目总建面308484平方米，其中地上建筑面积266284平方米。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完成建设方案深化</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完成土地摘牌、规划方案审批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完成总包招标</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摩云金融科技总部项目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商业办公用房项目，拟建成围绕云脑项目研发、运营和摩根史丹利的资本运作优势建设集高性能数据中心与金融投资于一体的产业基地，规划建筑面积约10万平方米。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方案设计及</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地块收储</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地块完成收储</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地块出让</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完成地块摘牌，办理前期审批手续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光大集团杭州总部项目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商业兼商务办公用房项目，拟建设光大银行杭州分行、光大控股华东区域总部，规划建筑面积超16万平方米。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方案设计及</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地块收储</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地块完成收储</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地块出让</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完成地块摘牌，办理前期审批手续</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吴山广场地下城市综合体项目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地下城市商业综合体及配套停车库项目，规划建筑面积约7万平方米。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完成局部控规调整及选址论证</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地块收储</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地块挂牌，力争完成土地出让</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杭政储出[2018]13号地块商业商务用房项目（杭州恒隆广场）</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商业商务用房，项目建设用地面积4.48万平方米，地上建筑面积约为19.41万平方米。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取得工程规划许可证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完成“二合一”方案审批</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城市之星二期项目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用地面积2.93万平方米，容积率2.4/3.6，建筑面积8.72万平方米。东至东新路，西至中舟路，北至文晖单元0402-27地块，南至文晖单元XC0404-08地块。</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地块收储</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地块出让前期准备工作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地块出让前期准备工作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杭州筑财科技有限公司总部大楼项目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地上建筑面积约36300平方米。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杭州二更文化传播有限公司总部大楼项目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地上建筑面积约49800平方米。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48300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杭州个园科技有限公司总部大楼项目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地上建筑面积约50690平方米。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杭州伟大航道信息技术有限公司总部大楼项目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地上建筑面积约75800平方米。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天堂镓谷项目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地上建筑面积约83000平方米。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中船重工海洋信息装备产业园项目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拟建设中船重工海洋信息装备产业园和中船重工海洋信息技术研究院。</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331000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浙能集团综合能源生产调度研发中心大楼项目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综合能源服务中心大楼建设，地上建筑面积7.95万平方米。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申领施工许可证</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三墩西单元FG04-B1/B2-07地块商业商务办公用房项目（陆板桥）</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商业商务办公用房。</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82000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清单编制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转塘单元XH1807-04地块商业商务办公用房项目（横桥）</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商业商务办公用房。</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74000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清单编制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转塘单元XH1807-03地块商业商务办公用房项目（沈家弄）</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商业商务办公用房。</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土地做地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土地挂牌出让</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方案设计深化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施工图设计优化</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清单编制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花园社区商业综合体项目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商业商务用房，建筑面积8.29万方；自主开发；用地面积：35.55亩。</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112300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办理土地协议出让手续</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开展土地招拍挂工作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完成土地出让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办理施工许可证</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黎明社区商业综合体项目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商业商务用房，用地面积40.3亩，建筑面积8.6万方，容积率3.2。</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126000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办理土地协议出让手续</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开展土地招拍挂工作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完成土地出让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施工图审查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铁路北站单元GS1103-06地块创新型产业用房项目（招商蛇口）</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创新型产业项目，项目占地面积约49.5亩，总建筑面积约99000平方米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74300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做地前期</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土地收储</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土地出让，方案设计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58同城五省总部项目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创新型产业项目，总用地面积46461平方米，地上建筑面积约14.88万平方米。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132400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做地前期</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土地收储</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土地出让，方案设计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陆家圩商业综合用房三期项目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主要建设写字楼和酒店式公寓，占地10.5亩，总建筑面积2.1万平方米。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杭政工出[2018]10号地块创新型产业用房项目（天格）</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创新型产业用地，总用地18亩，总建筑面积约46346平方米。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前期手续</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滨江区工业综合体项目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在区域内现有成熟地块或新拆迁地块布点建设占地80亩左右的工业综合体，结合高新区（滨江）战略新兴产业特点，高强度开发利用地上、地下空间，工业综合体建筑相对独立，并在地块内保留一定空间作为公共配套服务，按产业用途供地，综合开发。以优化产业生态为指引，优化资源要素配置向战略新兴产业和区域经济“增长极”倾斜，集聚产业链上下游企业集群式发展。</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完成控制性详细规划调整文本的编制和组织专家论证，并根据专家意见进一步完善；启动对地块内一户农户的拆迁工作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完成控规调整的公示并报市规划局、市政府审批；启动设计方案招标工作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确定设计方案并进行会审，取得方案批复后进入初步设计工作，完成可行性研究报告的编制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完成初步设计批复，进入施工图设计；完成可研批复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完成施工图设计；施工图报人防、交警、消防、卫生审查，完成工程量清单的编制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网易（杭州）网络有限公司互联网技术研发创新项目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拟建设云计算、互动娱乐、移动互联网、文漫等核心IP创新研发运营中心。项目拟用地面积约130亩。</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土地拍牌已获市政府批复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准备土地招拍挂</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完成地块摘牌</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方案设计并确定</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浙能养生养老项目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集医疗保健康复中心、社区老年活动中心、配套酒店和商业、养老公寓等于一体的养生养老项目。</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规划方案设计优化</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规划方案设计优化</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规划方案设计优化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等待杭州市总规获批</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争取土地指标，深化工程设计方案</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闻堰未来智造小镇总部大楼项目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配合未来智造小镇“2+1”产业框架，招引更多人工智能、科技含量高的企业总部的落户，总建筑面积约91954平方米，其中地上面积约68778平方米，地下面积约23176平方米。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做地前期</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地块选址论证、做地前期工作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方案设计及深化</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土地挂牌公告及地上辅助物征迁</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争取土地摘牌</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世界旅游联盟（WTA）总部及配套项目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总建筑面积约208300平方米，其中地上建筑面积约138900平方米，地下建筑面积约69400平方米。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307194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项目建议书已批复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编制可研报告</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完成项目可研报批</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完成项目初设报批</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完成EPC招标</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微医国际医学中心项目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打造集教育培训、医学科研和国际综合医疗为一体的国际化医学、医疗综合体，用地面积146亩，总建筑面积约70万平方米，地上建筑面积41.2万平方米，地下建筑面积28.8万平方米。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选址论证获市政府批复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就土地市场评估价做进一步对接</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优化设计方案</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争取土地指标</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争取土地摘牌，</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浙大超重力离心模拟与试验装置项目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包括高负载低加速度、低负载高加速度两台离心机，离心机容量超过1500gt，最大离心加速度达1500g，最大负载超过30t；边坡与高坝、岩土地震工程、深海工程、深地工程与环境、地质过程、材料制备共6座超重力实验舱；以及超重力实验保障系统和配套设施。配套设施主要建设超重力超重力离心模拟与实验大楼、电力设施、室外工程等。项目新建建筑面积34560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203434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编制初步设计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上报初步设计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阿里全球总部项目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阿里巴巴全球总部位于未来科技城原理工大学科艺学院区块，占地563亩，建筑面积约57万方。阿里巴巴将集聚自身优势产业链，加快谋划和打造“新零售、新制造、新金融、新技术、新能源”创新中心，并在该地块规划建设杭州未来科技城地标性建筑。</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670000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富力商业综合体项目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拟建设未来科技城CBD项目，计划建设集酒店、会议中心、办公、商业于一体的300米地标建筑一幢，打造步行商业街、MALL及高端居住区的商业综合体。</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完成备案</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工程规划许可证办理</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VIVO全球AI总部项目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拟投资建设“VIVO全球AI总部项目”，该项目的重点研究方向包括语意理解、计算机视觉感知、智能交互设计和垂类应用大数据建模。</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浙商数字设备生产设计研发中心项目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余杭区数字产业孵化园项目位于乔司街道，总用地面积约13公顷，共涉及四宗地块，地上总建筑面积约32万平方米，包含办公、研发、展览等功能。</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杭州城北万象城项目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建筑面积约80万平方米。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920000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完成备案</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工程规划许可证办理</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超山百联奥特莱斯项目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项目总用地面积206亩，总建筑面积10万方，集折扣店、餐饮、休闲娱乐等于一体的奥特莱斯，拟引进国内外知名品牌约250个，对外冠“百联奥特莱斯广场”商号。</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网易严选品牌服务中心项目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网易公司拟在开发区打造网易严选品牌服务中心，项目集研发、设计、销售、展示、办公于一体，用于承接严选品牌相关运营、结算等全功能。</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完成备案</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工程规划许可证办理</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杭州佳源快乐颐养项目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拟申请用地1300亩，总投资20亿元，前期计划通过司法拍卖摘得原子鑫大楼资产，对现有建筑进行改造，并通过招拍挂方式取得周边120亩地块，计划将该片区域建设成为以精准肿瘤医学与基因技术为核心、以高端医疗门诊和住院为特色的一座集门诊、急诊、健康体检、医技检和教学等功能为一体的一所国际化新形态医疗机构；后期计划将整个1300亩范围逐步打造成大型养生养老基地，规划分区为文化养生度假区、运动休闲度假区以及康复疗养基地三大板块。</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圆通速递装备制造研发中心及智慧物流项目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该项目总投资4亿元以上，用地面积约113亩，规划建筑面积 108104 平方米，地块位于仁良路以西、骆驼桥港以北、姚家埭港以东、獐山路以南地块。用于高端物流装备的研发设计、制造以及搭建物流信息共享技术应用研究平台，投产三年内达产，实现年营业收入10.17亿元以上，年税收4520万元以上。</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盒马鲜生杭州区域供应链运用中心项目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盒马鲜生杭州区域供应链运营中心项目建设内容包括杭州区域运营中心和结算中心、区域加工中心、区域冷链及常温仓储中心、区域城市配送中心等及其配套设施。项目建成投入运营后将支持盒马鲜生业务在杭州地区的高速稳定发展，保障其杭州区域整体业务的顺利运营。</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完成供地</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海正药业（杭州）有限公司天然气分布式能源项目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项目总用地37872平方米，本工程总建设规模为4台燃机，即2×12MW+1×8MW（其中1台为预留）级燃气轮机发电机组，其中本期建设2×12MW+1×8MW燃机，2×24t/h+1×15t/h余热锅炉，2×15t/h燃气锅炉（备用）。</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30947</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完成项目核准</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完成环评、能评等</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启动政策处理</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与开发区协商供地事宜</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完成前期审批，开工准备</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阳陂湖田园综合体工程（一期）</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一期用地4740亩，其中建设用地约737亩，总建筑面积约28万平方米；其余为水体、驳岸、绿化、道路、小品等。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项目受理，开展PPP招标准备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开展征地拆迁工作，按实际征地情况确定实施范围。</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完成工可方案调整</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发布招投标信息</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完成招投标，开工准备</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杭州富春艺居田园健康综合体项目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项目总用地约5157亩，建设以“艺居田园、营地之乡”为主题的田园健康综合体。</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方案审查</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与区政府签订投资正式协议书</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配合政府相关部门做好流转用地和建设用地的整理，以及相关专项设计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）取得首期建设用地和流转用地</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完成前期审批，开工准备</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黄公望金融小镇核心区块建设项目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建设内容包括金融办公、小镇客厅、金融俱乐部、艺术家走廊、餐饮等配套设施，总用地面积778亩，总建筑面积90126.51平方米，其中地上总建筑面积52523.86平方米，地下总建筑面积37602.65平方米。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77514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完成规划选址、土地预审、工可批复、水保批复等审批事项</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初步设计批复及施工图设计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完成建设工程规划许可证；办理农转用报批和供地手续；施工图图审；施工图预算编制及审核</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施工图预算和招标文件审核完成，发布招标信息；用地批准意见书办理完成</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项目施工招标完成，办理施工许可证等开工前准备工作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物联网及智能控制器研发和制造基地项目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投资约3亿元，拟新征用地约50亩。建设科研、生产、仓储及食堂、宿舍等配套设施，围绕工业/家用控制器、医疗器械控制器、智能设备以及物联网等产品研发及产业化，预计达产可实现控制器年生产能力3000万件，安装基站5万台，标签1000万张，增加就业岗位600多人，实现营收6亿元，利润4000万元，缴纳税收2500万元以上。</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招商部门正在项目洽谈</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项目洽谈，争取签约</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落实项目用地</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启动规划方案编制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启动前期报批</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浙江风清扬农业研究院建设项目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研究院包括种子研究区、农业科研创新区、农业展览馆等三大板块，建设内容包括科技实验大楼、行政办公、温网室、种子繁育基地及相关配套设施等，研究方向以农业基础研究、种子研发/培育、新农业+科技等为主，力争通过5-10年努力，集聚团队规模数百人，打造国内种子研发、培育、种植及最具社会价值的先进农业研究院。</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取得项目代码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启动规划方案编制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办理用地指标相关手续</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完成征地拆迁</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开展前期报批</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蓝城万强·山水桃园小镇项目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规划用地范围1434.2亩，其中保留原始用地、租赁用地1180.1亩（包括农业产业用地、旅游休闲用地），项目总用地254.1亩：其中建设用地184.1亩，用于建设养老、旅游、居住、商业配套。项目一期建设用地80亩。</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土地挂牌</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千岛湖农夫山泉扩建项目  </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新上生产线并扩建，用地约1069亩，分三期建设。其中，一期占地约159亩（美澳、凯盛），二期占地约570亩（大地），三期占地约340亩（强强实业、梦婷日化）。</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完成征地拆迁工作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开展一期（原美澳地块）招拍挂</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完成一期（原美澳地块）招拍挂</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开展一期（原美澳地块）规划方案设计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完成一期（原美澳地块）规划方案设计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千岛湖生态体育露营地项目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主要利用茅头尖半岛经济林基地、周边山林坡地及茅头尖原有出让建设用地，开展以国学讲堂、康养休闲、户外运动及深度体验活动为主要功能的休闲度假旅游项目。项目拟使用建设用地50亩左右，投资规模不少于5亿元。</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方案深化中</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完成总方案设计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开展一期土地出让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完成一期土地出让</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完成景区项目审批</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千岛湖鲁能胜地项目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生态农作、文化水街、度假精品酒店（国际品牌）、亲水乐园、户外运动、乐活康养等项目。</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完成合作协议签订，完成一期456余亩土地出让</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开展总方案设计工作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开展二期土地出让</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开展三期土地出让</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完成二期、三期土地出让，完成总方案设计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中策橡胶（建德）有限公司春秋厂区改扩建及仓储配套项目 </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新建厂房，购置国际先进水平的X光机、斜裁机、四辊压延机、密炼机等设备，并配套建设仓储基地。</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356000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完成征地拆迁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开展方案编制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开展方案编制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开展方案编制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四</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城乡统筹</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共17项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6771717</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临金高速公路临安至建德段工程（临金高速公路省高网）</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项目起于浙皖交界的千秋关，终于杭新景高速公路安仁互通，路线全长约85.45公里，其中临安境内44.7公里，桐庐境内36.58公里，建德境内4.17公里。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2102000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工可报批</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完成工作方案</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开展投资人招标工作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完成投资人招标工作，完成项目工可批复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完成项目初设批复</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320国道老余杭至富阳高桥段工程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起点顺接余杭区东西向快速通道终点，终点为余杭区与富阳区交界处，主线全长8.7公里（含起点利用段2.177公里）。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506200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320国道余杭博陆至仁和段改建工程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起点为规划320国道与304省道交口，终点为现状09省道仁和路口，全长23.157公里（其中新建8.399，改建14.758），塘栖连接线3.927公里，新老320连接线路线长4.2公里，线路全长约31.284公里，路基宽47米。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完成项目前期审批工作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余杭区东西向快速通道下穿杭徽高速段工程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主线沿南北走向，起于余杭区崇贤至老余杭连接线（高架）工程接地点，经过一段地面后，以地道形式连续下穿荆余路、02省道（杭徽高速），至圣地路与规划杭州中环接顺；共设置1对匝道出入口和2对地面出入口；主线路线全长2.564公里。主线采用双向六车道规模，地面段490米，隧道暗埋段长1287米，两段敞开段各长约400m。地面道路总长约3.4公里，建设规模为：工程起点~杭徽高速段采用双向六车道规模，长约1.26公里；杭徽高速~工程终点段采用双向四车道规模，长约1.3公里；规划圣地路（接地点至东西大道段）采用双向四车道规模，长约0.8公里。 </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168000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办理工程规划许可证</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S304余杭小林至塘栖段改扩建工程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路线全长约5.88公里，主要建设内容包括路基、路面、桥涵、高架桥梁工程、交通工程及沿线设施等。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203300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完成项目前期审批工作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余杭区京杭大运河航道桥梁提升工程（一期）</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京杭运河“四改三”余杭区河道范围内，新建东湖北路桥1座，加固新华大桥、五杭大桥、长寿桥3座,拆建丰稔桥1座。</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61000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完成工可审批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办理工程规划许可证</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S206（14省道）临安段改建工程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一级公路17.1公里。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167000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开展可研报批</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开展资金承诺等办理</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开展水保、环评等审批</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完成可研申报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吴兴至龙泉公路临安高坎至界桥段改建工程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一级公路5.3公里，二级公路6公里。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完成可研申报</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开展资金承诺等办理</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开展水保、环评等审批</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完成初步设计招标</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桐庐县钟洛公路城下至歌舞段改建工程（钟洛线）</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路线全长15.142公里，其中主线长14.443公里，接线长0.699公里。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23省道桐庐段改建工程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新、改建一级公路14公里。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桐庐县舞象山路道路建设工程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南起春江路，北接S208，线路全长约4公里。道路等级为城市次干路，红线宽度25米，双向4车道，设计车速40公里/小时，富春江一桥拼宽长675米；牛山坞隧道游右线全长1122米，左线全长1074米；新建洋塘大桥长795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122210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奉化至江山公路建德梓洲至马目段改建工程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全线设置主线和两条连接线，主线全长约34.862公里，连接线总长约1.462公里。主线起点至三都镇段（K0+000～K21+600）采用双向两车道二级公路标准，设计速度60公里/小时，其中K0+000～K13+235段约13.235公里路基宽度采用8.5米；K13+235～K21+600段约8.365公里路基宽度12米。主线三都镇至终点段（K21+600～K34+861.587），长约13.26公里采用双向四车道一级公路标准，设计速度80公里/小时，路基宽度24.5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250562</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完成可研方案设计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开展初步设计编制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开展初步设计编制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建德市桐溪大桥工程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新建道路全长 1.9公里,其中桐溪大桥长730米，连接线长 400米。按双向四车道一级公路标准设计，设计速度 80 公里/小时，路基宽度24.5米。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34094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开展各专项编制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开展各专项编制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完成各专项编制；开展施工图设计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320国道建德杨村桥至会泽里段改建工程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320国道过境公路，杨村桥至寿昌段，一级公路路基宽26米，道路全长约33.6公里；航头至会泽里段二级加宽改一级公路改建工程，利用现有二级公路加宽，全长约16.8公里，合计长50.4公里，估算投资约70亿元；设计时速100公里/小时。</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完成项建批复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开展可研方案设计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开展可研方案设计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开展可研方案设计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建德市城区北山城市通道工程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对城区北侧进行前期调查研究；在城区北侧打通一个隧道或者高架，打通城市东西向通道，全长约5公里。</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确定实施主体</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确定实施主体</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开展可研编制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建德市溪沿至灵栖洞公路改建工程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县道改建，二级公路，路基宽10米，道路全长约12.532公里。用地416.85亩(含老路)，设计时速60公里/小时。</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38351</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开展各专项编制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开展各专项编制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完成各专项编制；开展施工图设计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建德市府前路区块旧城改造项目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用地面积约111亩，新建广场、商业等配套设施。</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完成可研批复，方案批复</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初步设计报批</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施工图设计及审查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五</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生态环保</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共10项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1166638</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扩大杭嘉湖南排西部通道工程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新建五常港到钱塘江长约11公里的排涝主隧洞，出口新建200立方米/秒的排涝闸站。</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完成项建书、可研报告征求意见稿</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编制项建、可研文本</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编制项建、可研文本</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完成项建审查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完成可研审查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市林水局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之江分类减量综合体项目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建设转运规模为600t/d，建设内容有垃圾中转车间，机修洗车间，管理用房及配套辅助设施等。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城西分类减量综合体项目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规模：1000吨/日。</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30898</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杭州临江环境能源工程配套工程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项目总占地206亩，分期建设第三固废中心二期（危废固化填埋64亩，50万方）、餐厨垃圾处理项目（700吨/日，70亩）、炉渣资源化利用项目（1000吨/日，72亩）三个项目。</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81000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技术前期、土地报批</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杭钢、炼油厂土壤修复工程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杭钢基地、杭州炼油厂厂区土壤污染修复工程。</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前期论证研究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完成炼油厂土壤修复工程风险评估；开展杭钢土壤修复方案研究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开展炼油厂土壤修复方案研究；完成杭钢土壤修复方案编制单位招投标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开展炼油厂土壤修复方案编制；完成杭钢土壤修复方案编制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开展炼油厂土壤修复方案；启动杭钢土壤修复施工招投标</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杭州江湾沿江景观带工程（塘工局路—和睦港）</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全长约4320米（隧道分为四段短隧道，全长3740.047米，以实际测量为准），道路标准段红线宽度为30米，以及地面绿化。</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226024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完成项建批复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萧围西线（一工段至四工段）提升标准工程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9.5公里百年一遇标准塘建设。</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完成立项招标工作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完成方案研究</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完成项目建议书编制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完成项目建议书批复</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杭州市大江东片外排工程——汇龙湖防洪调蓄湖（东湖二期） </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杭州市大江东片外排工程—汇龙湖防洪调蓄湖项目新增调蓄水域面积57.36公顷，排涝标准为50年一遇最大24小时暴雨不受淹。建设内容主要包括新建护岸 4468米，新建节制闸2座，湖区开挖263.27万立方米，水质监测及自动化控制工程等。总工期为30个月。 </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173716</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完成项目建议书编制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完成立项、选址、土地预审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桐庐第二自来水厂项目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新建水厂及配套设施工程，水厂规模10万立方米/日。</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农村饮用水达标提标改造工程（分水江区域）</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扩建分水2.5万吨/日水厂二期工程1座，加压泵站7座，用地约25亩，配套总管约110千米。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六</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公共服务</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共22项</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2531332</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江干区笕桥职业高级中学（暂名）项目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新建公办寄宿制职业高中，60班。建设用地133亩，总建筑面积平方米，100197平方米，其中地上65000平方米，地下35197平方米。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59840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征地拆迁等前期工作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继续跟进征迁费用落实事宜，推进前期工作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继续跟进征迁费用落实事宜，推进前期工作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继续跟进征迁费用落实事宜，推进前期工作</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继续跟进征迁费用落实事宜，推进前期工作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杭州市公共实训基地杭州第一技师学院分基地项目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主要包括教学用房、实训用房、辅助及办公用房、生活用房以及室外实训场地、道路、绿化等，总建筑面积42702平方米。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19172</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完成可研批复，准备设计招标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准备设计招标，制作招标文件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完成方案设计和初步设计；完成地质勘测</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完成林地征占用手续；通过工程概算</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完成施工图设计，开始施工招标，争取开工建设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杭州市轻工技师学院大江东校区建设项目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主要包括教学实训用房、图书馆、室内体育用房、校级办公用房、会堂及大学生活动用房、学生宿舍、食堂、单身教师宿舍、后勤及附属用房等。总用地面积23.5万平方米，总建筑面积197148平方米。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99779</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已完成选址论证报告送审稿，项目建议书修改稿</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同市发改委预可研编制单位沟通协调项目立项前期工作</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项目立项、前期工作</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项目立项、前期工作</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项目立项、前期工作</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杭州市民政事业发展服务示范园项目（暂定）</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创新养老服务功能用房、社会组织服务功能用房、防灾减灾体验功能用房、民政事业综合展示功能用房，以及停车库、设备用房，同时建设室外活动场所、室外绿化、道路、管线等配套设施等配套设施。项目总建筑面积为28735平方米，其中，地上建筑面积为19820平方米，地下建筑面积8915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13085</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根据市领导及有关部门要求对项目建设方案进一步研究修改</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确定建设方案修改方向</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将建设方案报市政府及市发改委审定</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完成可研报告，获得批复，着手编制初步设计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完成初步设计，并报职能部门审核批复</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杭州市救助管理站（杭州市救灾物资储备库）迁扩建工程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项目总建筑面积3.35万平方米，建成500张床位的流浪人口救助管理中心和应急避灾疏散中心、40张床位的反家庭暴力庇护场所以及市级救灾物资储备库。</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17516</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完成征地拆迁工作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完成建设方案修改</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将建设方案报市政府及市发改委审定，着手编制初步设计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完成初步设计，报职能部门审批</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完成前期各项审批工作，力争开工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杭州市西溪医院二期工程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新增床位数500张，建筑面积55000平方米。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完成项目建议书编制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争取市发改委下达项目前期计划</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完成模拟选址意见书及模拟土地预审意见批复,同步进行设计招标</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完成可研报告</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完成可研报告批复</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市民公园项目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公园绿化及配套、文化设施、地下停车库，用地203400平方米，总建筑面积350000平方米，其中地下340000平方米。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338140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待明确方案</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方案征集</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方案深化调整控规</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初步设计招标</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京杭大运河博物馆项目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博物馆，占地5.76万平方米，建筑面积约5万平方米。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完成控规局部调整报告初稿及展陈策划大纲初稿</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进行预可行性研究、展陈策划大纲编制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完成控规调整、预可研评审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完成可研批复、方案设计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江河汇城市综合体汇中区块项目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地面公园绿化，地下停车场库。</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290112</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完成项建批复</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河庄街道城乡一体化安置小区项目（棚户区三期）</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总用地面积约466.98亩，总建筑面积约72.9万平方米,（其中地上建筑面积约45.7万平方米，架空层建筑面积1.8万平方米，地下建筑面积约25.3万平方米）。项目建设内容主要包括37栋18层住宅建筑、1-2层沿街配套、1座幼儿园（配建一所9班幼儿园）、1处农贸市场和社区卫生服务站等。</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396437</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前期准备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前期研究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完成立项、选址、土地预审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三塘单元XC0508-R21-28地块人才专项租赁住房项目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用地面积0.88公顷，建筑面积约19536平方米。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34758</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列入前期计划</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完成地块出让</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完成“二合一”方案审批</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浙江省全民健身中心项目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建设全民健身综合大楼、体质监测科研中心、游泳运动休闲中心及运动康复中心、安置房等，总建筑面积19.9万平方米，其中地上建筑面积13万平方米，地下建筑面积7万平方米左右。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概念设计招标</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征地拆迁</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征地拆迁</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征地拆迁</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114</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滨江区浦乐单元中学项目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42班中学，用地面积46700平方米，建筑面积88730平方米。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79950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办理预红线，准备启动项目方案设计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方案确定及修改</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方案和初步设计“二合一”审查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115</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滨江区白马湖单元中学项目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30班中学，用地面积32000平方米，建筑面积60800平方米。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54784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选址论证资料收集</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方案设计</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方案确定及修改</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方案和初步设计“二合一”二合一审查</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116</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浙医二院萧山院区项目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项目总建筑面积约55万平方米，分二期，其中一期包含4幢病房,1幢门珍医计楼，1幢后勤楼，1幢蜀山卫生院，1幢派出所以及1幢教学科研楼。二期包含1幢教学科研楼，1幢病房，1幢后勤楼。</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项目前期</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召开项目选址论证审查会。</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完成设计招标、可研报告编制、征迁进场</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完成选址意见书、征迁协议签订、可研批复</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完成施工图设计和审查。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117</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临安区人民医院整体迁建项目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实施整体迁建，按照三级甲等综合性医院标准建设，规划总建筑面积200400平方米(含地下车库和人防工程），设置床位1500张，建设内容主要包括门（急）诊楼、医技楼、住院楼、传染病房楼、教学科研楼、行政办公楼、集体宿舍和配电房等附属用房以及地下用房。</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159474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规划方案优化中</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完成土地划拨手续</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118</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杭州阿平汉外籍人员子女学校及香港大学附属学校项目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总建筑面积约为14-18万平方米。其中国际教育交流中心体验馆1幢。ECIS教研公寓12幢。ECIS办公楼5幢。教师及办公人员公寓15幢。行政综合楼2幢。学校科研公寓6幢。运动馆3幢。 学生宿舍3幢。幼儿部教学楼1幢。小学部教学楼4幢。 中学部教学楼5幢。图书馆1幢。音乐教学楼2幢。专家楼2幢。食堂2幢。</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取得项目代码</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启动规划方案编制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办理用地指标相关手续</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完成征地拆迁</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开展前期报批</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119</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临安区职业教育中心新建项目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规划用地300亩，学生按招生5100人（含600社会学生），103班的规模新建校区，总建筑面积约12万平方米。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81600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完成征地拆迁和工程前期工作</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完成初步设计编制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完成施工图设计</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完成预算编制及审核</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力争开工建设</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桐庐县第一人民医院（桐庐县120急救中心）迁建项目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医院总体规模设计床位1100张，用地面积约131.6亩，建筑面积为15.3万平方米（含地下室面积约4.45万平方米），停车位1100辆。</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93384</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完成可研、初步设计</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121</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桐庐县妇幼保健院迁建项目</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按三乙妇幼保健院标准建设门诊楼、住院楼、办公楼和预防保健楼等，总建筑面积58894平方米。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42401</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122</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桐庐县金东村、东兴村城中村改造安置房项目A1区块</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建设用地19099平方米，总建筑面积约53606平方米。</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25000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可研编制</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可研批复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初步设计编制</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初步设计批复，力争开工</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6"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123</w:t>
            </w:r>
          </w:p>
        </w:tc>
        <w:tc>
          <w:tcPr>
            <w:tcW w:w="1596"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建德市第一人民医院二期工程</w:t>
            </w:r>
          </w:p>
        </w:tc>
        <w:tc>
          <w:tcPr>
            <w:tcW w:w="3882"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76000平方米（地上建筑面积40000平方米，地下36000平方米）。其中，二号综合病房楼27300平方米（未含地下室20000平方米），设病床460张；二期感染诊疗中心楼4500平方米；二期健康教育中心楼8200平方米（未含地下室16000平方米）；停车场车位约900个。</w:t>
            </w:r>
          </w:p>
        </w:tc>
        <w:tc>
          <w:tcPr>
            <w:tcW w:w="1497"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46900</w:t>
            </w:r>
          </w:p>
        </w:tc>
        <w:tc>
          <w:tcPr>
            <w:tcW w:w="173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完成方案设计</w:t>
            </w:r>
          </w:p>
        </w:tc>
        <w:tc>
          <w:tcPr>
            <w:tcW w:w="1803"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完成项目建议书</w:t>
            </w:r>
          </w:p>
        </w:tc>
        <w:tc>
          <w:tcPr>
            <w:tcW w:w="89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立项批复</w:t>
            </w:r>
          </w:p>
        </w:tc>
        <w:tc>
          <w:tcPr>
            <w:tcW w:w="138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完成环评</w:t>
            </w:r>
          </w:p>
        </w:tc>
        <w:tc>
          <w:tcPr>
            <w:tcW w:w="858"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完成可研编制</w:t>
            </w:r>
          </w:p>
        </w:tc>
        <w:tc>
          <w:tcPr>
            <w:tcW w:w="1279" w:type="dxa"/>
            <w:tcBorders>
              <w:top w:val="nil"/>
              <w:left w:val="nil"/>
              <w:bottom w:val="single" w:color="auto" w:sz="4" w:space="0"/>
              <w:right w:val="single" w:color="auto" w:sz="4" w:space="0"/>
            </w:tcBorders>
            <w:shd w:val="clear" w:color="auto" w:fill="FFFFFF"/>
            <w:vAlign w:val="center"/>
          </w:tcPr>
          <w:p>
            <w:pPr>
              <w:widowControl/>
              <w:snapToGrid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bl>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ascii="小标宋" w:eastAsia="小标宋"/>
          <w:sz w:val="32"/>
          <w:szCs w:val="32"/>
        </w:rPr>
        <w:sectPr>
          <w:headerReference r:id="rId4" w:type="default"/>
          <w:footerReference r:id="rId5" w:type="default"/>
          <w:pgSz w:w="16838" w:h="11906" w:orient="landscape"/>
          <w:pgMar w:top="1701" w:right="1871" w:bottom="1701" w:left="1871" w:header="851" w:footer="992" w:gutter="0"/>
          <w:cols w:space="720" w:num="1"/>
          <w:docGrid w:type="linesAndChars" w:linePitch="618" w:charSpace="599"/>
        </w:sect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pacing w:line="500" w:lineRule="exact"/>
        <w:rPr>
          <w:rFonts w:hint="eastAsia" w:ascii="仿宋_GB2312" w:hAnsi="仿宋_GB2312" w:eastAsia="仿宋_GB2312" w:cs="仿宋_GB2312"/>
          <w:sz w:val="28"/>
          <w:szCs w:val="28"/>
        </w:rPr>
      </w:pPr>
    </w:p>
    <w:sectPr>
      <w:pgSz w:w="11906" w:h="16838"/>
      <w:pgMar w:top="1871" w:right="1701" w:bottom="1871" w:left="1701" w:header="851" w:footer="992" w:gutter="0"/>
      <w:cols w:space="720" w:num="1"/>
      <w:docGrid w:type="lines" w:linePitch="618"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美黑简体">
    <w:altName w:val="微软雅黑"/>
    <w:panose1 w:val="00000000000000000000"/>
    <w:charset w:val="86"/>
    <w:family w:val="auto"/>
    <w:pitch w:val="default"/>
    <w:sig w:usb0="00000001" w:usb1="080E0000" w:usb2="00000010" w:usb3="00000000" w:csb0="00040000" w:csb1="00000000"/>
  </w:font>
  <w:font w:name="小标宋">
    <w:altName w:val="Arial Unicode MS"/>
    <w:panose1 w:val="03000509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outside" w:y="1"/>
      <w:ind w:left="420" w:leftChars="200" w:right="420" w:rightChars="200"/>
      <w:rPr>
        <w:rStyle w:val="7"/>
        <w:rFonts w:hint="eastAsia"/>
        <w:sz w:val="28"/>
        <w:szCs w:val="28"/>
      </w:rPr>
    </w:pPr>
    <w:r>
      <w:rPr>
        <w:rStyle w:val="7"/>
        <w:rFonts w:hint="eastAsia"/>
        <w:sz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rFonts w:hint="eastAsia"/>
        <w:sz w:val="28"/>
        <w:szCs w:val="28"/>
      </w:rPr>
      <w:t xml:space="preserve"> </w:t>
    </w:r>
    <w:r>
      <w:rPr>
        <w:rStyle w:val="7"/>
        <w:rFonts w:hint="eastAsia"/>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213"/>
  <w:drawingGridVerticalSpacing w:val="3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32248"/>
    <w:rsid w:val="000253EB"/>
    <w:rsid w:val="00040531"/>
    <w:rsid w:val="00060EC8"/>
    <w:rsid w:val="00061C07"/>
    <w:rsid w:val="000639E8"/>
    <w:rsid w:val="000825A8"/>
    <w:rsid w:val="000849D8"/>
    <w:rsid w:val="000A0339"/>
    <w:rsid w:val="000A1EC6"/>
    <w:rsid w:val="000C7640"/>
    <w:rsid w:val="000D0A15"/>
    <w:rsid w:val="0013567C"/>
    <w:rsid w:val="00136A60"/>
    <w:rsid w:val="001D5D35"/>
    <w:rsid w:val="001E59DD"/>
    <w:rsid w:val="00200CA6"/>
    <w:rsid w:val="00290BF0"/>
    <w:rsid w:val="002F3288"/>
    <w:rsid w:val="003046EA"/>
    <w:rsid w:val="003421CD"/>
    <w:rsid w:val="00355581"/>
    <w:rsid w:val="003653C7"/>
    <w:rsid w:val="00373506"/>
    <w:rsid w:val="0039048E"/>
    <w:rsid w:val="003D4930"/>
    <w:rsid w:val="003D75A7"/>
    <w:rsid w:val="00415551"/>
    <w:rsid w:val="00417D98"/>
    <w:rsid w:val="00447E6D"/>
    <w:rsid w:val="00450500"/>
    <w:rsid w:val="00457507"/>
    <w:rsid w:val="00470F26"/>
    <w:rsid w:val="00474C01"/>
    <w:rsid w:val="004A593A"/>
    <w:rsid w:val="004A7296"/>
    <w:rsid w:val="004C6C83"/>
    <w:rsid w:val="005118B6"/>
    <w:rsid w:val="005934EF"/>
    <w:rsid w:val="005C7A36"/>
    <w:rsid w:val="005F388B"/>
    <w:rsid w:val="00606E6D"/>
    <w:rsid w:val="006209A4"/>
    <w:rsid w:val="00625FD4"/>
    <w:rsid w:val="00644B80"/>
    <w:rsid w:val="0064771F"/>
    <w:rsid w:val="006A0880"/>
    <w:rsid w:val="006E45BC"/>
    <w:rsid w:val="00712FFD"/>
    <w:rsid w:val="00765CBA"/>
    <w:rsid w:val="007704E4"/>
    <w:rsid w:val="00771D8E"/>
    <w:rsid w:val="00794C62"/>
    <w:rsid w:val="007B00D1"/>
    <w:rsid w:val="007B49A1"/>
    <w:rsid w:val="007C1F1D"/>
    <w:rsid w:val="007E6750"/>
    <w:rsid w:val="00811778"/>
    <w:rsid w:val="00820313"/>
    <w:rsid w:val="008B1ABC"/>
    <w:rsid w:val="008F48CB"/>
    <w:rsid w:val="008F6716"/>
    <w:rsid w:val="0091074A"/>
    <w:rsid w:val="00926550"/>
    <w:rsid w:val="00961D50"/>
    <w:rsid w:val="00965F22"/>
    <w:rsid w:val="00967572"/>
    <w:rsid w:val="009916B3"/>
    <w:rsid w:val="009B6225"/>
    <w:rsid w:val="009C2D2E"/>
    <w:rsid w:val="009F589A"/>
    <w:rsid w:val="009F65AF"/>
    <w:rsid w:val="00A026C8"/>
    <w:rsid w:val="00A10240"/>
    <w:rsid w:val="00A32248"/>
    <w:rsid w:val="00A5215B"/>
    <w:rsid w:val="00A64EDF"/>
    <w:rsid w:val="00A80E8D"/>
    <w:rsid w:val="00A97962"/>
    <w:rsid w:val="00AA4422"/>
    <w:rsid w:val="00AD5629"/>
    <w:rsid w:val="00AE1A2A"/>
    <w:rsid w:val="00B44AD5"/>
    <w:rsid w:val="00B67EF2"/>
    <w:rsid w:val="00BD4E15"/>
    <w:rsid w:val="00C12CCA"/>
    <w:rsid w:val="00C14096"/>
    <w:rsid w:val="00C33FDB"/>
    <w:rsid w:val="00C54668"/>
    <w:rsid w:val="00C72574"/>
    <w:rsid w:val="00C9328E"/>
    <w:rsid w:val="00CB4D22"/>
    <w:rsid w:val="00CD192E"/>
    <w:rsid w:val="00D51D50"/>
    <w:rsid w:val="00DC0B67"/>
    <w:rsid w:val="00E41769"/>
    <w:rsid w:val="00E42CF4"/>
    <w:rsid w:val="00E84ED3"/>
    <w:rsid w:val="00F06CDB"/>
    <w:rsid w:val="00F63348"/>
    <w:rsid w:val="00F74E00"/>
    <w:rsid w:val="00FA195D"/>
    <w:rsid w:val="00FA5317"/>
    <w:rsid w:val="00FA5A4B"/>
    <w:rsid w:val="00FB66CD"/>
    <w:rsid w:val="32D83A8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仿宋_GB2312"/>
      <w:b/>
      <w:bCs/>
      <w:kern w:val="44"/>
      <w:sz w:val="44"/>
      <w:szCs w:val="44"/>
    </w:rPr>
  </w:style>
  <w:style w:type="paragraph" w:styleId="3">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tcPr>
      <w:textDirection w:val="lrTb"/>
    </w:tc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jc w:val="center"/>
    </w:pPr>
    <w:rPr>
      <w:sz w:val="18"/>
      <w:szCs w:val="18"/>
    </w:rPr>
  </w:style>
  <w:style w:type="character" w:styleId="7">
    <w:name w:val="page number"/>
    <w:basedOn w:val="6"/>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26</Pages>
  <Words>2955</Words>
  <Characters>16845</Characters>
  <Lines>140</Lines>
  <Paragraphs>39</Paragraphs>
  <ScaleCrop>false</ScaleCrop>
  <LinksUpToDate>false</LinksUpToDate>
  <CharactersWithSpaces>0</CharactersWithSpaces>
  <Application>WPS Office 专业版_9.1.0.5416_F1E327BC-269C-435d-A152-05C5408002CA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2019-08-30T01:31:00Z</dcterms:created>
  <dc:creator>YlmF</dc:creator>
  <cp:lastModifiedBy>匿名用户</cp:lastModifiedBy>
  <cp:lastPrinted>2011-05-10T02:01:00Z</cp:lastPrinted>
  <dcterms:modified xsi:type="dcterms:W3CDTF">2019-08-30T07:43:01Z</dcterms:modified>
  <dc:title>杭州市发展和改革委员会文件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2052-9.1.0.5416</vt:lpwstr>
  </property>
</Properties>
</file>