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adjustRightInd w:val="0"/>
        <w:snapToGrid w:val="0"/>
        <w:spacing w:line="360" w:lineRule="auto"/>
        <w:ind w:firstLine="240" w:firstLineChars="100"/>
        <w:rPr>
          <w:rFonts w:hint="eastAsia"/>
          <w:snapToGrid w:val="0"/>
          <w:kern w:val="0"/>
          <w:sz w:val="24"/>
          <w:szCs w:val="24"/>
        </w:rPr>
      </w:pPr>
      <w:bookmarkStart w:id="0" w:name="_GoBack"/>
      <w:bookmarkEnd w:id="0"/>
    </w:p>
    <w:p>
      <w:pPr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评分细则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270"/>
        <w:gridCol w:w="5076"/>
        <w:gridCol w:w="1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tblHeader/>
        </w:trPr>
        <w:tc>
          <w:tcPr>
            <w:tcW w:w="5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评价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74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子项</w:t>
            </w:r>
          </w:p>
        </w:tc>
        <w:tc>
          <w:tcPr>
            <w:tcW w:w="297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评分细则</w:t>
            </w:r>
          </w:p>
        </w:tc>
        <w:tc>
          <w:tcPr>
            <w:tcW w:w="70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权重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一、技术和服务得分（满分90分）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对项目理解</w:t>
            </w:r>
          </w:p>
        </w:tc>
        <w:tc>
          <w:tcPr>
            <w:tcW w:w="74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对项目背景、现状的理解</w:t>
            </w: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1.对“八八战略”实施20周年背景把握透彻；（3分）</w:t>
            </w:r>
          </w:p>
        </w:tc>
        <w:tc>
          <w:tcPr>
            <w:tcW w:w="701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2.对杭州实施“八八战略”现状了解分析到位；（3分）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3.对地方相关研究动态充分了解、资料全面。（3分）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对项目目标、任务理解</w:t>
            </w: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1.对“八八战略”实施20周年综合评估工作的目标任务定位清晰；（3分）</w:t>
            </w:r>
          </w:p>
        </w:tc>
        <w:tc>
          <w:tcPr>
            <w:tcW w:w="701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2.对“八八战略”实施20周年综合评估工作任务罗列清晰把握到位。（3分）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对项目内容理解</w:t>
            </w: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1.对“八八战略”实施20周年评估的内容分析到位；（3分）</w:t>
            </w:r>
          </w:p>
        </w:tc>
        <w:tc>
          <w:tcPr>
            <w:tcW w:w="701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2.研究框架思路清晰完整。（3分）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关键技术方案</w:t>
            </w:r>
          </w:p>
        </w:tc>
        <w:tc>
          <w:tcPr>
            <w:tcW w:w="74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研究技术路线</w:t>
            </w: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1.研究方法合理，科学性强；（3分）</w:t>
            </w:r>
          </w:p>
        </w:tc>
        <w:tc>
          <w:tcPr>
            <w:tcW w:w="701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2.工作思路清晰；（3分）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3.技术路线科学可行；（3分）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4.符合研究目的和任务理解。（3分）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研究重点、难点及对策</w:t>
            </w: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针对“八八战略”实施20周年综合评估提出的研究重点、难点：</w:t>
            </w:r>
          </w:p>
        </w:tc>
        <w:tc>
          <w:tcPr>
            <w:tcW w:w="701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1.切合背景；（3分）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2.切合目的；（3分）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3.分析到位；（3分）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4.考虑全面。（3分）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针对“八八战略”实施20周年综合评估提出的解决问题的对策与方案建议：</w:t>
            </w:r>
          </w:p>
        </w:tc>
        <w:tc>
          <w:tcPr>
            <w:tcW w:w="701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1.针对项目特点；（3分）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2.实际解决项目所要解决的问题；（3分）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3.具有可操作性；（3分）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其它有助提高项目的研究深度和广度建议</w:t>
            </w: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1.基础资料信息掌握全面；（3分）</w:t>
            </w:r>
          </w:p>
        </w:tc>
        <w:tc>
          <w:tcPr>
            <w:tcW w:w="701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2.提出其他方案，有助提高项目的研究深度和广度建议。（3分）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4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服务要求</w:t>
            </w:r>
          </w:p>
        </w:tc>
        <w:tc>
          <w:tcPr>
            <w:tcW w:w="74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工作计划</w:t>
            </w: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1.项目整体工作阶段及任务划分合理；（3分）</w:t>
            </w:r>
          </w:p>
        </w:tc>
        <w:tc>
          <w:tcPr>
            <w:tcW w:w="701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2.进度控制合理、关键时间节点把握准确。（3分）</w:t>
            </w:r>
          </w:p>
        </w:tc>
        <w:tc>
          <w:tcPr>
            <w:tcW w:w="701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质量保证及后续</w:t>
            </w:r>
          </w:p>
        </w:tc>
        <w:tc>
          <w:tcPr>
            <w:tcW w:w="2978" w:type="pc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1.质量保证体系完备周全；（3分）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2.后续服务保障体系健全，应对措施科学，与采购人配合能高效落实。（3分）</w:t>
            </w:r>
          </w:p>
        </w:tc>
        <w:tc>
          <w:tcPr>
            <w:tcW w:w="701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4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人员投入情况</w:t>
            </w:r>
          </w:p>
        </w:tc>
        <w:tc>
          <w:tcPr>
            <w:tcW w:w="74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项目组负责人</w:t>
            </w:r>
          </w:p>
        </w:tc>
        <w:tc>
          <w:tcPr>
            <w:tcW w:w="29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项目负责人为正高职称得3分；副高得2分。证明材料：证书复印件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4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项目组成员</w:t>
            </w:r>
          </w:p>
        </w:tc>
        <w:tc>
          <w:tcPr>
            <w:tcW w:w="297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项目团队人员（不含项目负责人）中有3名（含）以上副高级职称（含）以上人员的得6分；有2名（含）副高级职称人员的得4分；有1名（含）副高级职称人员的得2分；本项最高得6分。不符合条件不得分。（提供人员清单和证书复印件）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同类业绩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类似经验</w:t>
            </w:r>
          </w:p>
        </w:tc>
        <w:tc>
          <w:tcPr>
            <w:tcW w:w="2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投标人承担过类似项目，每个项目得3分，该项最高得分为9分。证明材料：合同复印件。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  <w:t>二、报价得分（满分10分）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投标报价得分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/</w:t>
            </w:r>
          </w:p>
        </w:tc>
        <w:tc>
          <w:tcPr>
            <w:tcW w:w="2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综合评分法中的价格分统一采用低价优先法计算，即满足采购文件要求且报价最低的供应商的价格为基准价，其价格分为满分。其他供应商的价格分统一按照下列公式计算：投标报价得分=（基准价/投标报价）×10%×100</w:t>
            </w:r>
          </w:p>
        </w:tc>
        <w:tc>
          <w:tcPr>
            <w:tcW w:w="7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F2F64"/>
    <w:rsid w:val="1E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80" w:lineRule="exact"/>
      <w:ind w:firstLine="420" w:firstLineChars="200"/>
    </w:pPr>
    <w:rPr>
      <w:rFonts w:ascii="仿宋_GB2312" w:eastAsia="仿宋_GB2312"/>
      <w:sz w:val="31"/>
    </w:rPr>
  </w:style>
  <w:style w:type="paragraph" w:styleId="3">
    <w:name w:val="Body Text Indent"/>
    <w:basedOn w:val="1"/>
    <w:qFormat/>
    <w:uiPriority w:val="0"/>
    <w:pPr>
      <w:ind w:firstLine="540" w:firstLineChars="225"/>
    </w:pPr>
    <w:rPr>
      <w:rFonts w:ascii="宋体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2023-03-01T16:45:00Z</dcterms:created>
  <dc:creator>ChenChenChen</dc:creator>
  <cp:lastModifiedBy>ChenChenChen</cp:lastModifiedBy>
  <dcterms:modified xsi:type="dcterms:W3CDTF">2023-03-01T16:45:44Z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